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sz w:val="44"/>
        </w:rPr>
        <w:t>2023年</w:t>
      </w:r>
      <w:r>
        <w:rPr>
          <w:rFonts w:hint="eastAsia" w:ascii="黑体" w:hAnsi="黑体" w:eastAsia="黑体" w:cs="黑体"/>
          <w:b/>
          <w:sz w:val="44"/>
          <w:lang w:eastAsia="zh-CN"/>
        </w:rPr>
        <w:t>单位</w:t>
      </w:r>
      <w:r>
        <w:rPr>
          <w:rFonts w:ascii="黑体" w:hAnsi="黑体" w:eastAsia="黑体" w:cs="黑体"/>
          <w:b/>
          <w:sz w:val="44"/>
        </w:rPr>
        <w:t>预算信息公开目录</w:t>
      </w:r>
    </w:p>
    <w:p>
      <w:pPr>
        <w:jc w:val="center"/>
      </w:pPr>
      <w:r>
        <w:rPr>
          <w:rFonts w:ascii="黑体" w:hAnsi="黑体" w:eastAsia="黑体" w:cs="黑体"/>
          <w:b/>
          <w:sz w:val="30"/>
        </w:rPr>
        <w:t xml:space="preserve"> </w:t>
      </w:r>
    </w:p>
    <w:p>
      <w:r>
        <w:rPr>
          <w:rFonts w:hint="eastAsia" w:ascii="方正楷体_GBK" w:hAnsi="方正楷体_GBK" w:eastAsia="方正楷体_GBK" w:cs="方正楷体_GBK"/>
          <w:b/>
          <w:sz w:val="28"/>
          <w:lang w:eastAsia="zh-CN"/>
        </w:rPr>
        <w:t>单位</w:t>
      </w:r>
      <w:r>
        <w:rPr>
          <w:rFonts w:ascii="方正楷体_GBK" w:hAnsi="方正楷体_GBK" w:eastAsia="方正楷体_GBK" w:cs="方正楷体_GBK"/>
          <w:b/>
          <w:sz w:val="28"/>
        </w:rPr>
        <w:t>预算公开表</w:t>
      </w:r>
    </w:p>
    <w:p>
      <w:pPr>
        <w:pStyle w:val="8"/>
        <w:tabs>
          <w:tab w:val="right" w:leader="dot" w:pos="14562"/>
        </w:tabs>
        <w:rPr>
          <w:color w:val="auto"/>
        </w:rPr>
      </w:pPr>
      <w:r>
        <w:rPr>
          <w:color w:val="auto"/>
        </w:rPr>
        <w:fldChar w:fldCharType="begin"/>
      </w:r>
      <w:r>
        <w:rPr>
          <w:color w:val="auto"/>
        </w:rPr>
        <w:instrText xml:space="preserve">TOC \o "2-2" \h \z \u</w:instrText>
      </w:r>
      <w:r>
        <w:rPr>
          <w:color w:val="auto"/>
        </w:rPr>
        <w:fldChar w:fldCharType="separate"/>
      </w:r>
      <w:r>
        <w:fldChar w:fldCharType="begin"/>
      </w:r>
      <w:r>
        <w:instrText xml:space="preserve"> HYPERLINK \l "_Toc_2_2_0000000001" </w:instrText>
      </w:r>
      <w:r>
        <w:fldChar w:fldCharType="separate"/>
      </w:r>
      <w:r>
        <w:rPr>
          <w:color w:val="auto"/>
        </w:rPr>
        <w:t>单位预算收支总表</w:t>
      </w:r>
      <w:r>
        <w:rPr>
          <w:color w:val="auto"/>
        </w:rPr>
        <w:tab/>
      </w:r>
      <w:r>
        <w:rPr>
          <w:rFonts w:hint="eastAsia"/>
          <w:color w:val="auto"/>
          <w:lang w:eastAsia="zh-CN"/>
        </w:rPr>
        <w:t>1</w:t>
      </w:r>
      <w:r>
        <w:rPr>
          <w:rFonts w:hint="eastAsia"/>
          <w:color w:val="auto"/>
          <w:lang w:eastAsia="zh-CN"/>
        </w:rPr>
        <w:fldChar w:fldCharType="end"/>
      </w:r>
    </w:p>
    <w:p>
      <w:pPr>
        <w:pStyle w:val="8"/>
        <w:tabs>
          <w:tab w:val="right" w:leader="dot" w:pos="14562"/>
        </w:tabs>
        <w:rPr>
          <w:color w:val="auto"/>
        </w:rPr>
      </w:pPr>
      <w:r>
        <w:fldChar w:fldCharType="begin"/>
      </w:r>
      <w:r>
        <w:instrText xml:space="preserve"> HYPERLINK \l "_Toc_2_2_0000000002" </w:instrText>
      </w:r>
      <w:r>
        <w:fldChar w:fldCharType="separate"/>
      </w:r>
      <w:r>
        <w:rPr>
          <w:color w:val="auto"/>
        </w:rPr>
        <w:t>单位预算收入总表</w:t>
      </w:r>
      <w:r>
        <w:rPr>
          <w:color w:val="auto"/>
        </w:rPr>
        <w:tab/>
      </w:r>
      <w:r>
        <w:rPr>
          <w:rFonts w:hint="eastAsia"/>
          <w:color w:val="auto"/>
          <w:lang w:eastAsia="zh-CN"/>
        </w:rPr>
        <w:t>3</w:t>
      </w:r>
      <w:r>
        <w:rPr>
          <w:rFonts w:hint="eastAsia"/>
          <w:color w:val="auto"/>
          <w:lang w:eastAsia="zh-CN"/>
        </w:rPr>
        <w:fldChar w:fldCharType="end"/>
      </w:r>
    </w:p>
    <w:p>
      <w:pPr>
        <w:pStyle w:val="8"/>
        <w:tabs>
          <w:tab w:val="right" w:leader="dot" w:pos="14562"/>
        </w:tabs>
        <w:rPr>
          <w:color w:val="auto"/>
        </w:rPr>
      </w:pPr>
      <w:r>
        <w:fldChar w:fldCharType="begin"/>
      </w:r>
      <w:r>
        <w:instrText xml:space="preserve"> HYPERLINK \l "_Toc_2_2_0000000003" </w:instrText>
      </w:r>
      <w:r>
        <w:fldChar w:fldCharType="separate"/>
      </w:r>
      <w:r>
        <w:rPr>
          <w:color w:val="auto"/>
        </w:rPr>
        <w:t>单位预算支出总表</w:t>
      </w:r>
      <w:r>
        <w:rPr>
          <w:color w:val="auto"/>
        </w:rPr>
        <w:tab/>
      </w:r>
      <w:r>
        <w:rPr>
          <w:rFonts w:hint="eastAsia"/>
          <w:color w:val="auto"/>
          <w:lang w:eastAsia="zh-CN"/>
        </w:rPr>
        <w:t>4</w:t>
      </w:r>
      <w:r>
        <w:rPr>
          <w:rFonts w:hint="eastAsia"/>
          <w:color w:val="auto"/>
          <w:lang w:eastAsia="zh-CN"/>
        </w:rPr>
        <w:fldChar w:fldCharType="end"/>
      </w:r>
    </w:p>
    <w:p>
      <w:pPr>
        <w:pStyle w:val="8"/>
        <w:tabs>
          <w:tab w:val="right" w:leader="dot" w:pos="14562"/>
        </w:tabs>
        <w:rPr>
          <w:color w:val="auto"/>
        </w:rPr>
      </w:pPr>
      <w:r>
        <w:fldChar w:fldCharType="begin"/>
      </w:r>
      <w:r>
        <w:instrText xml:space="preserve"> HYPERLINK \l "_Toc_2_2_0000000004" </w:instrText>
      </w:r>
      <w:r>
        <w:fldChar w:fldCharType="separate"/>
      </w:r>
      <w:r>
        <w:rPr>
          <w:color w:val="auto"/>
        </w:rPr>
        <w:t>单位预算财政拨款收支总表</w:t>
      </w:r>
      <w:r>
        <w:rPr>
          <w:color w:val="auto"/>
        </w:rPr>
        <w:tab/>
      </w:r>
      <w:r>
        <w:rPr>
          <w:rFonts w:hint="eastAsia"/>
          <w:color w:val="auto"/>
          <w:lang w:eastAsia="zh-CN"/>
        </w:rPr>
        <w:t>5</w:t>
      </w:r>
      <w:r>
        <w:rPr>
          <w:rFonts w:hint="eastAsia"/>
          <w:color w:val="auto"/>
          <w:lang w:eastAsia="zh-CN"/>
        </w:rPr>
        <w:fldChar w:fldCharType="end"/>
      </w:r>
    </w:p>
    <w:p>
      <w:pPr>
        <w:pStyle w:val="8"/>
        <w:tabs>
          <w:tab w:val="right" w:leader="dot" w:pos="14562"/>
        </w:tabs>
        <w:rPr>
          <w:color w:val="auto"/>
        </w:rPr>
      </w:pPr>
      <w:r>
        <w:fldChar w:fldCharType="begin"/>
      </w:r>
      <w:r>
        <w:instrText xml:space="preserve"> HYPERLINK \l "_Toc_2_2_0000000005" </w:instrText>
      </w:r>
      <w:r>
        <w:fldChar w:fldCharType="separate"/>
      </w:r>
      <w:r>
        <w:rPr>
          <w:color w:val="auto"/>
        </w:rPr>
        <w:t>单位预算一般公共预算财政拨款支出表</w:t>
      </w:r>
      <w:r>
        <w:rPr>
          <w:color w:val="auto"/>
        </w:rPr>
        <w:tab/>
      </w:r>
      <w:r>
        <w:rPr>
          <w:rFonts w:hint="eastAsia"/>
          <w:color w:val="auto"/>
          <w:lang w:eastAsia="zh-CN"/>
        </w:rPr>
        <w:t>8</w:t>
      </w:r>
      <w:r>
        <w:rPr>
          <w:rFonts w:hint="eastAsia"/>
          <w:color w:val="auto"/>
          <w:lang w:eastAsia="zh-CN"/>
        </w:rPr>
        <w:fldChar w:fldCharType="end"/>
      </w:r>
    </w:p>
    <w:p>
      <w:pPr>
        <w:pStyle w:val="8"/>
        <w:tabs>
          <w:tab w:val="right" w:leader="dot" w:pos="14562"/>
        </w:tabs>
        <w:rPr>
          <w:color w:val="auto"/>
        </w:rPr>
      </w:pPr>
      <w:r>
        <w:fldChar w:fldCharType="begin"/>
      </w:r>
      <w:r>
        <w:instrText xml:space="preserve"> HYPERLINK \l "_Toc_2_2_0000000006" </w:instrText>
      </w:r>
      <w:r>
        <w:fldChar w:fldCharType="separate"/>
      </w:r>
      <w:r>
        <w:rPr>
          <w:color w:val="auto"/>
        </w:rPr>
        <w:t>单位预算一般公共预算财政拨款基本支出表</w:t>
      </w:r>
      <w:r>
        <w:rPr>
          <w:color w:val="auto"/>
        </w:rPr>
        <w:tab/>
      </w:r>
      <w:r>
        <w:rPr>
          <w:rFonts w:hint="eastAsia"/>
          <w:color w:val="auto"/>
          <w:lang w:eastAsia="zh-CN"/>
        </w:rPr>
        <w:t>9</w:t>
      </w:r>
      <w:r>
        <w:rPr>
          <w:rFonts w:hint="eastAsia"/>
          <w:color w:val="auto"/>
          <w:lang w:eastAsia="zh-CN"/>
        </w:rPr>
        <w:fldChar w:fldCharType="end"/>
      </w:r>
    </w:p>
    <w:p>
      <w:pPr>
        <w:pStyle w:val="8"/>
        <w:tabs>
          <w:tab w:val="right" w:leader="dot" w:pos="14562"/>
        </w:tabs>
        <w:rPr>
          <w:color w:val="auto"/>
          <w:lang w:eastAsia="zh-CN"/>
        </w:rPr>
      </w:pPr>
      <w:r>
        <w:fldChar w:fldCharType="begin"/>
      </w:r>
      <w:r>
        <w:instrText xml:space="preserve"> HYPERLINK \l "_Toc_2_2_0000000007" </w:instrText>
      </w:r>
      <w:r>
        <w:fldChar w:fldCharType="separate"/>
      </w:r>
      <w:r>
        <w:rPr>
          <w:color w:val="auto"/>
        </w:rPr>
        <w:t>单位预算政府基金预算财政拨款支出表</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1</w:t>
      </w:r>
    </w:p>
    <w:p>
      <w:pPr>
        <w:pStyle w:val="8"/>
        <w:tabs>
          <w:tab w:val="right" w:leader="dot" w:pos="14562"/>
        </w:tabs>
        <w:rPr>
          <w:color w:val="auto"/>
          <w:lang w:eastAsia="zh-CN"/>
        </w:rPr>
      </w:pPr>
      <w:r>
        <w:fldChar w:fldCharType="begin"/>
      </w:r>
      <w:r>
        <w:instrText xml:space="preserve"> HYPERLINK \l "_Toc_2_2_0000000008" </w:instrText>
      </w:r>
      <w:r>
        <w:fldChar w:fldCharType="separate"/>
      </w:r>
      <w:r>
        <w:rPr>
          <w:color w:val="auto"/>
        </w:rPr>
        <w:t>单位预算国有资本经营预算财政拨款支出表</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2</w:t>
      </w:r>
    </w:p>
    <w:p>
      <w:pPr>
        <w:pStyle w:val="8"/>
        <w:tabs>
          <w:tab w:val="right" w:leader="dot" w:pos="14562"/>
        </w:tabs>
        <w:rPr>
          <w:color w:val="auto"/>
        </w:rPr>
      </w:pPr>
      <w:r>
        <w:fldChar w:fldCharType="begin"/>
      </w:r>
      <w:r>
        <w:instrText xml:space="preserve"> HYPERLINK \l "_Toc_2_2_0000000009" </w:instrText>
      </w:r>
      <w:r>
        <w:fldChar w:fldCharType="separate"/>
      </w:r>
      <w:r>
        <w:rPr>
          <w:color w:val="auto"/>
        </w:rPr>
        <w:t>单位预算财政拨款“三公”经费支出表</w:t>
      </w:r>
      <w:r>
        <w:rPr>
          <w:color w:val="auto"/>
        </w:rPr>
        <w:tab/>
      </w:r>
      <w:r>
        <w:rPr>
          <w:color w:val="auto"/>
        </w:rPr>
        <w:fldChar w:fldCharType="begin"/>
      </w:r>
      <w:r>
        <w:rPr>
          <w:color w:val="auto"/>
        </w:rPr>
        <w:instrText xml:space="preserve">PAGEREF _Toc_2_2_0000000009 \h</w:instrText>
      </w:r>
      <w:r>
        <w:rPr>
          <w:color w:val="auto"/>
        </w:rPr>
        <w:fldChar w:fldCharType="separate"/>
      </w:r>
      <w:r>
        <w:rPr>
          <w:color w:val="auto"/>
        </w:rPr>
        <w:t>1</w:t>
      </w:r>
      <w:r>
        <w:rPr>
          <w:rFonts w:hint="eastAsia"/>
          <w:color w:val="auto"/>
          <w:lang w:eastAsia="zh-CN"/>
        </w:rPr>
        <w:t>3</w:t>
      </w:r>
      <w:r>
        <w:rPr>
          <w:color w:val="auto"/>
        </w:rPr>
        <w:fldChar w:fldCharType="end"/>
      </w:r>
      <w:r>
        <w:rPr>
          <w:color w:val="auto"/>
        </w:rPr>
        <w:fldChar w:fldCharType="end"/>
      </w:r>
    </w:p>
    <w:p>
      <w:r>
        <w:fldChar w:fldCharType="end"/>
      </w:r>
    </w:p>
    <w:p>
      <w:r>
        <w:rPr>
          <w:rFonts w:hint="eastAsia" w:ascii="方正楷体_GBK" w:hAnsi="方正楷体_GBK" w:eastAsia="方正楷体_GBK" w:cs="方正楷体_GBK"/>
          <w:b/>
          <w:sz w:val="28"/>
          <w:lang w:eastAsia="zh-CN"/>
        </w:rPr>
        <w:t>单位</w:t>
      </w:r>
      <w:r>
        <w:rPr>
          <w:rFonts w:ascii="方正楷体_GBK" w:hAnsi="方正楷体_GBK" w:eastAsia="方正楷体_GBK" w:cs="方正楷体_GBK"/>
          <w:b/>
          <w:sz w:val="28"/>
        </w:rPr>
        <w:t>预算信息公开情况说明</w:t>
      </w:r>
    </w:p>
    <w:p>
      <w:pPr>
        <w:pStyle w:val="8"/>
        <w:tabs>
          <w:tab w:val="right" w:leader="dot" w:pos="14562"/>
        </w:tabs>
        <w:rPr>
          <w:color w:val="auto"/>
        </w:rPr>
      </w:pPr>
      <w:r>
        <w:rPr>
          <w:color w:val="auto"/>
        </w:rPr>
        <w:fldChar w:fldCharType="begin"/>
      </w:r>
      <w:r>
        <w:rPr>
          <w:color w:val="auto"/>
        </w:rPr>
        <w:instrText xml:space="preserve">TOC \o "3-3" \h \z \u</w:instrText>
      </w:r>
      <w:r>
        <w:rPr>
          <w:color w:val="auto"/>
        </w:rPr>
        <w:fldChar w:fldCharType="separate"/>
      </w:r>
      <w:r>
        <w:fldChar w:fldCharType="begin"/>
      </w:r>
      <w:r>
        <w:instrText xml:space="preserve"> HYPERLINK \l "_Toc_3_3_0000000010" </w:instrText>
      </w:r>
      <w:r>
        <w:fldChar w:fldCharType="separate"/>
      </w:r>
      <w:r>
        <w:rPr>
          <w:color w:val="auto"/>
        </w:rPr>
        <w:t>一、</w:t>
      </w:r>
      <w:r>
        <w:rPr>
          <w:rFonts w:hint="eastAsia"/>
          <w:color w:val="auto"/>
          <w:lang w:eastAsia="zh-CN"/>
        </w:rPr>
        <w:t>单位</w:t>
      </w:r>
      <w:r>
        <w:rPr>
          <w:color w:val="auto"/>
        </w:rPr>
        <w:t>职责及机构设置情况</w:t>
      </w:r>
      <w:r>
        <w:rPr>
          <w:color w:val="auto"/>
        </w:rPr>
        <w:tab/>
      </w:r>
      <w:r>
        <w:rPr>
          <w:color w:val="auto"/>
        </w:rPr>
        <w:fldChar w:fldCharType="begin"/>
      </w:r>
      <w:r>
        <w:rPr>
          <w:color w:val="auto"/>
        </w:rPr>
        <w:instrText xml:space="preserve">PAGEREF _Toc_3_3_0000000010 \h</w:instrText>
      </w:r>
      <w:r>
        <w:rPr>
          <w:color w:val="auto"/>
        </w:rPr>
        <w:fldChar w:fldCharType="separate"/>
      </w:r>
      <w:r>
        <w:rPr>
          <w:color w:val="auto"/>
        </w:rPr>
        <w:t>1</w:t>
      </w:r>
      <w:r>
        <w:rPr>
          <w:rFonts w:hint="eastAsia"/>
          <w:color w:val="auto"/>
          <w:lang w:eastAsia="zh-CN"/>
        </w:rPr>
        <w:t>4</w:t>
      </w:r>
      <w:r>
        <w:rPr>
          <w:color w:val="auto"/>
        </w:rPr>
        <w:fldChar w:fldCharType="end"/>
      </w:r>
      <w:r>
        <w:rPr>
          <w:color w:val="auto"/>
        </w:rPr>
        <w:fldChar w:fldCharType="end"/>
      </w:r>
    </w:p>
    <w:p>
      <w:pPr>
        <w:pStyle w:val="8"/>
        <w:tabs>
          <w:tab w:val="right" w:leader="dot" w:pos="14562"/>
        </w:tabs>
        <w:rPr>
          <w:color w:val="auto"/>
          <w:lang w:eastAsia="zh-CN"/>
        </w:rPr>
      </w:pPr>
      <w:r>
        <w:fldChar w:fldCharType="begin"/>
      </w:r>
      <w:r>
        <w:instrText xml:space="preserve"> HYPERLINK \l "_Toc_3_3_0000000011" </w:instrText>
      </w:r>
      <w:r>
        <w:fldChar w:fldCharType="separate"/>
      </w:r>
      <w:r>
        <w:rPr>
          <w:color w:val="auto"/>
        </w:rPr>
        <w:t>二、</w:t>
      </w:r>
      <w:r>
        <w:rPr>
          <w:rFonts w:hint="eastAsia"/>
          <w:color w:val="auto"/>
          <w:lang w:eastAsia="zh-CN"/>
        </w:rPr>
        <w:t>单位</w:t>
      </w:r>
      <w:r>
        <w:rPr>
          <w:color w:val="auto"/>
        </w:rPr>
        <w:t>预算安排的总体情况</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4</w:t>
      </w:r>
    </w:p>
    <w:p>
      <w:pPr>
        <w:pStyle w:val="8"/>
        <w:tabs>
          <w:tab w:val="right" w:leader="dot" w:pos="14562"/>
        </w:tabs>
        <w:rPr>
          <w:color w:val="auto"/>
          <w:lang w:eastAsia="zh-CN"/>
        </w:rPr>
      </w:pPr>
      <w:r>
        <w:fldChar w:fldCharType="begin"/>
      </w:r>
      <w:r>
        <w:instrText xml:space="preserve"> HYPERLINK \l "_Toc_3_3_0000000012" </w:instrText>
      </w:r>
      <w:r>
        <w:fldChar w:fldCharType="separate"/>
      </w:r>
      <w:r>
        <w:rPr>
          <w:color w:val="auto"/>
        </w:rPr>
        <w:t>三、机关运行经费安排情况</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5</w:t>
      </w:r>
    </w:p>
    <w:p>
      <w:pPr>
        <w:pStyle w:val="8"/>
        <w:tabs>
          <w:tab w:val="right" w:leader="dot" w:pos="14562"/>
        </w:tabs>
        <w:rPr>
          <w:color w:val="auto"/>
          <w:lang w:eastAsia="zh-CN"/>
        </w:rPr>
      </w:pPr>
      <w:r>
        <w:fldChar w:fldCharType="begin"/>
      </w:r>
      <w:r>
        <w:instrText xml:space="preserve"> HYPERLINK \l "_Toc_3_3_0000000013" </w:instrText>
      </w:r>
      <w:r>
        <w:fldChar w:fldCharType="separate"/>
      </w:r>
      <w:r>
        <w:rPr>
          <w:color w:val="auto"/>
        </w:rPr>
        <w:t>四、财政拨款“三公”经费预算情况及增减变化原因</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5</w:t>
      </w:r>
    </w:p>
    <w:p>
      <w:pPr>
        <w:pStyle w:val="8"/>
        <w:tabs>
          <w:tab w:val="right" w:leader="dot" w:pos="14562"/>
        </w:tabs>
        <w:rPr>
          <w:color w:val="auto"/>
          <w:lang w:eastAsia="zh-CN"/>
        </w:rPr>
      </w:pPr>
      <w:r>
        <w:fldChar w:fldCharType="begin"/>
      </w:r>
      <w:r>
        <w:instrText xml:space="preserve"> HYPERLINK \l "_Toc_3_3_0000000014" </w:instrText>
      </w:r>
      <w:r>
        <w:fldChar w:fldCharType="separate"/>
      </w:r>
      <w:r>
        <w:rPr>
          <w:color w:val="auto"/>
        </w:rPr>
        <w:t>五、预算绩效信息</w:t>
      </w:r>
      <w:r>
        <w:rPr>
          <w:color w:val="auto"/>
        </w:rPr>
        <w:tab/>
      </w:r>
      <w:r>
        <w:rPr>
          <w:rFonts w:hint="eastAsia"/>
          <w:color w:val="auto"/>
          <w:lang w:eastAsia="zh-CN"/>
        </w:rPr>
        <w:t>1</w:t>
      </w:r>
      <w:r>
        <w:rPr>
          <w:rFonts w:hint="eastAsia"/>
          <w:color w:val="auto"/>
          <w:lang w:eastAsia="zh-CN"/>
        </w:rPr>
        <w:fldChar w:fldCharType="end"/>
      </w:r>
      <w:r>
        <w:rPr>
          <w:rFonts w:hint="eastAsia"/>
          <w:color w:val="auto"/>
          <w:lang w:eastAsia="zh-CN"/>
        </w:rPr>
        <w:t>5</w:t>
      </w:r>
    </w:p>
    <w:p>
      <w:pPr>
        <w:pStyle w:val="8"/>
        <w:tabs>
          <w:tab w:val="right" w:leader="dot" w:pos="14562"/>
        </w:tabs>
        <w:rPr>
          <w:color w:val="auto"/>
          <w:lang w:eastAsia="zh-CN"/>
        </w:rPr>
      </w:pPr>
      <w:r>
        <w:fldChar w:fldCharType="begin"/>
      </w:r>
      <w:r>
        <w:instrText xml:space="preserve"> HYPERLINK \l "_Toc_3_3_0000000015" </w:instrText>
      </w:r>
      <w:r>
        <w:fldChar w:fldCharType="separate"/>
      </w:r>
      <w:r>
        <w:rPr>
          <w:color w:val="auto"/>
        </w:rPr>
        <w:t>六、政府采购预算情况</w:t>
      </w:r>
      <w:r>
        <w:rPr>
          <w:color w:val="auto"/>
        </w:rPr>
        <w:tab/>
      </w:r>
      <w:r>
        <w:rPr>
          <w:rFonts w:hint="eastAsia"/>
          <w:color w:val="auto"/>
          <w:lang w:eastAsia="zh-CN"/>
        </w:rPr>
        <w:t>2</w:t>
      </w:r>
      <w:r>
        <w:rPr>
          <w:rFonts w:hint="eastAsia"/>
          <w:color w:val="auto"/>
          <w:lang w:eastAsia="zh-CN"/>
        </w:rPr>
        <w:fldChar w:fldCharType="end"/>
      </w:r>
      <w:r>
        <w:rPr>
          <w:rFonts w:hint="eastAsia"/>
          <w:color w:val="auto"/>
          <w:lang w:eastAsia="zh-CN"/>
        </w:rPr>
        <w:t>1</w:t>
      </w:r>
    </w:p>
    <w:p>
      <w:pPr>
        <w:pStyle w:val="8"/>
        <w:tabs>
          <w:tab w:val="right" w:leader="dot" w:pos="14562"/>
        </w:tabs>
        <w:rPr>
          <w:color w:val="auto"/>
          <w:lang w:eastAsia="zh-CN"/>
        </w:rPr>
      </w:pPr>
      <w:r>
        <w:fldChar w:fldCharType="begin"/>
      </w:r>
      <w:r>
        <w:instrText xml:space="preserve"> HYPERLINK \l "_Toc_3_3_0000000016" </w:instrText>
      </w:r>
      <w:r>
        <w:fldChar w:fldCharType="separate"/>
      </w:r>
      <w:r>
        <w:rPr>
          <w:color w:val="auto"/>
        </w:rPr>
        <w:t>七、国有资产信息</w:t>
      </w:r>
      <w:r>
        <w:rPr>
          <w:color w:val="auto"/>
        </w:rPr>
        <w:tab/>
      </w:r>
      <w:r>
        <w:rPr>
          <w:rFonts w:hint="eastAsia"/>
          <w:color w:val="auto"/>
          <w:lang w:eastAsia="zh-CN"/>
        </w:rPr>
        <w:t>2</w:t>
      </w:r>
      <w:r>
        <w:rPr>
          <w:rFonts w:hint="eastAsia"/>
          <w:color w:val="auto"/>
          <w:lang w:eastAsia="zh-CN"/>
        </w:rPr>
        <w:fldChar w:fldCharType="end"/>
      </w:r>
      <w:r>
        <w:rPr>
          <w:rFonts w:hint="eastAsia"/>
          <w:color w:val="auto"/>
          <w:lang w:val="en-US" w:eastAsia="zh-CN"/>
        </w:rPr>
        <w:t>2</w:t>
      </w:r>
    </w:p>
    <w:p>
      <w:pPr>
        <w:pStyle w:val="8"/>
        <w:tabs>
          <w:tab w:val="right" w:leader="dot" w:pos="14562"/>
        </w:tabs>
        <w:rPr>
          <w:color w:val="auto"/>
          <w:lang w:eastAsia="zh-CN"/>
        </w:rPr>
      </w:pPr>
      <w:r>
        <w:fldChar w:fldCharType="begin"/>
      </w:r>
      <w:r>
        <w:instrText xml:space="preserve"> HYPERLINK \l "_Toc_3_3_0000000017" </w:instrText>
      </w:r>
      <w:r>
        <w:fldChar w:fldCharType="separate"/>
      </w:r>
      <w:r>
        <w:rPr>
          <w:color w:val="auto"/>
        </w:rPr>
        <w:t>八、名词解释</w:t>
      </w:r>
      <w:r>
        <w:rPr>
          <w:color w:val="auto"/>
        </w:rPr>
        <w:tab/>
      </w:r>
      <w:r>
        <w:rPr>
          <w:rFonts w:hint="eastAsia"/>
          <w:color w:val="auto"/>
          <w:lang w:eastAsia="zh-CN"/>
        </w:rPr>
        <w:t>2</w:t>
      </w:r>
      <w:r>
        <w:rPr>
          <w:rFonts w:hint="eastAsia"/>
          <w:color w:val="auto"/>
          <w:lang w:eastAsia="zh-CN"/>
        </w:rPr>
        <w:fldChar w:fldCharType="end"/>
      </w:r>
      <w:r>
        <w:rPr>
          <w:rFonts w:hint="eastAsia"/>
          <w:color w:val="auto"/>
          <w:lang w:val="en-US" w:eastAsia="zh-CN"/>
        </w:rPr>
        <w:t>3</w:t>
      </w:r>
    </w:p>
    <w:p>
      <w:pPr>
        <w:pStyle w:val="8"/>
        <w:tabs>
          <w:tab w:val="right" w:leader="dot" w:pos="14562"/>
        </w:tabs>
        <w:rPr>
          <w:color w:val="auto"/>
          <w:lang w:eastAsia="zh-CN"/>
        </w:rPr>
      </w:pPr>
      <w:r>
        <w:fldChar w:fldCharType="begin"/>
      </w:r>
      <w:r>
        <w:instrText xml:space="preserve"> HYPERLINK \l "_Toc_3_3_0000000018" </w:instrText>
      </w:r>
      <w:r>
        <w:fldChar w:fldCharType="separate"/>
      </w:r>
      <w:r>
        <w:rPr>
          <w:color w:val="auto"/>
        </w:rPr>
        <w:t>九、其他需要说明的事项</w:t>
      </w:r>
      <w:r>
        <w:rPr>
          <w:color w:val="auto"/>
        </w:rPr>
        <w:tab/>
      </w:r>
      <w:r>
        <w:rPr>
          <w:rFonts w:hint="eastAsia"/>
          <w:color w:val="auto"/>
          <w:lang w:eastAsia="zh-CN"/>
        </w:rPr>
        <w:t>2</w:t>
      </w:r>
      <w:r>
        <w:rPr>
          <w:rFonts w:hint="eastAsia"/>
          <w:color w:val="auto"/>
          <w:lang w:eastAsia="zh-CN"/>
        </w:rPr>
        <w:fldChar w:fldCharType="end"/>
      </w:r>
      <w:r>
        <w:rPr>
          <w:rFonts w:hint="eastAsia"/>
          <w:color w:val="auto"/>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sz w:val="44"/>
        </w:rPr>
        <w:t>七十二、霸州市胜芳镇第三小学收支预算</w:t>
      </w:r>
    </w:p>
    <w:p>
      <w:pPr>
        <w:jc w:val="center"/>
        <w:outlineLvl w:val="4"/>
      </w:pPr>
      <w:r>
        <w:rPr>
          <w:rFonts w:ascii="方正小标宋_GBK" w:hAnsi="方正小标宋_GBK" w:eastAsia="方正小标宋_GBK" w:cs="方正小标宋_GBK"/>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501584霸州市胜芳镇第三小学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755.21</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755.21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755.21</w:t>
            </w:r>
          </w:p>
        </w:tc>
        <w:tc>
          <w:tcPr>
            <w:tcW w:w="4535" w:type="dxa"/>
            <w:vAlign w:val="center"/>
          </w:tcPr>
          <w:p>
            <w:pPr>
              <w:pStyle w:val="25"/>
            </w:pPr>
            <w:r>
              <w:t>本年支出合计</w:t>
            </w:r>
          </w:p>
        </w:tc>
        <w:tc>
          <w:tcPr>
            <w:tcW w:w="2126" w:type="dxa"/>
            <w:vAlign w:val="center"/>
          </w:tcPr>
          <w:p>
            <w:pPr>
              <w:pStyle w:val="26"/>
            </w:pPr>
            <w:r>
              <w:t>755.21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755.21</w:t>
            </w:r>
          </w:p>
        </w:tc>
        <w:tc>
          <w:tcPr>
            <w:tcW w:w="4535" w:type="dxa"/>
            <w:vAlign w:val="center"/>
          </w:tcPr>
          <w:p>
            <w:pPr>
              <w:pStyle w:val="25"/>
            </w:pPr>
            <w:r>
              <w:t>支出总计</w:t>
            </w:r>
          </w:p>
        </w:tc>
        <w:tc>
          <w:tcPr>
            <w:tcW w:w="2126" w:type="dxa"/>
            <w:vAlign w:val="center"/>
          </w:tcPr>
          <w:p>
            <w:pPr>
              <w:pStyle w:val="26"/>
            </w:pPr>
            <w:r>
              <w:t>755.21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501584霸州市胜芳镇第三小学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755.21</w:t>
            </w:r>
          </w:p>
        </w:tc>
        <w:tc>
          <w:tcPr>
            <w:tcW w:w="1134" w:type="dxa"/>
            <w:vAlign w:val="center"/>
          </w:tcPr>
          <w:p>
            <w:pPr>
              <w:pStyle w:val="26"/>
            </w:pPr>
            <w:r>
              <w:t>755.21</w:t>
            </w:r>
          </w:p>
        </w:tc>
        <w:tc>
          <w:tcPr>
            <w:tcW w:w="1134" w:type="dxa"/>
            <w:vAlign w:val="center"/>
          </w:tcPr>
          <w:p>
            <w:pPr>
              <w:pStyle w:val="26"/>
            </w:pPr>
            <w:r>
              <w:t>755.21</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755.21</w:t>
            </w:r>
          </w:p>
        </w:tc>
        <w:tc>
          <w:tcPr>
            <w:tcW w:w="1134" w:type="dxa"/>
            <w:vAlign w:val="center"/>
          </w:tcPr>
          <w:p>
            <w:pPr>
              <w:pStyle w:val="22"/>
            </w:pPr>
            <w:r>
              <w:t>755.21</w:t>
            </w:r>
          </w:p>
        </w:tc>
        <w:tc>
          <w:tcPr>
            <w:tcW w:w="1134" w:type="dxa"/>
            <w:vAlign w:val="center"/>
          </w:tcPr>
          <w:p>
            <w:pPr>
              <w:pStyle w:val="22"/>
            </w:pPr>
            <w:r>
              <w:t>755.21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755.21</w:t>
            </w:r>
          </w:p>
        </w:tc>
        <w:tc>
          <w:tcPr>
            <w:tcW w:w="1134" w:type="dxa"/>
            <w:vAlign w:val="center"/>
          </w:tcPr>
          <w:p>
            <w:pPr>
              <w:pStyle w:val="22"/>
            </w:pPr>
            <w:r>
              <w:t>755.21</w:t>
            </w:r>
          </w:p>
        </w:tc>
        <w:tc>
          <w:tcPr>
            <w:tcW w:w="1134" w:type="dxa"/>
            <w:vAlign w:val="center"/>
          </w:tcPr>
          <w:p>
            <w:pPr>
              <w:pStyle w:val="22"/>
            </w:pPr>
            <w:r>
              <w:t>755.21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20.00</w:t>
            </w:r>
          </w:p>
        </w:tc>
        <w:tc>
          <w:tcPr>
            <w:tcW w:w="1134" w:type="dxa"/>
            <w:vAlign w:val="center"/>
          </w:tcPr>
          <w:p>
            <w:pPr>
              <w:pStyle w:val="22"/>
            </w:pPr>
            <w:r>
              <w:t>20.00</w:t>
            </w:r>
          </w:p>
        </w:tc>
        <w:tc>
          <w:tcPr>
            <w:tcW w:w="1134" w:type="dxa"/>
            <w:vAlign w:val="center"/>
          </w:tcPr>
          <w:p>
            <w:pPr>
              <w:pStyle w:val="22"/>
            </w:pPr>
            <w:r>
              <w:t>20.00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735.21</w:t>
            </w:r>
          </w:p>
        </w:tc>
        <w:tc>
          <w:tcPr>
            <w:tcW w:w="1134" w:type="dxa"/>
            <w:vAlign w:val="center"/>
          </w:tcPr>
          <w:p>
            <w:pPr>
              <w:pStyle w:val="22"/>
            </w:pPr>
            <w:r>
              <w:t>735.21</w:t>
            </w:r>
          </w:p>
        </w:tc>
        <w:tc>
          <w:tcPr>
            <w:tcW w:w="1134" w:type="dxa"/>
            <w:vAlign w:val="center"/>
          </w:tcPr>
          <w:p>
            <w:pPr>
              <w:pStyle w:val="22"/>
            </w:pPr>
            <w:r>
              <w:t>735.21</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755.21</w:t>
            </w:r>
          </w:p>
        </w:tc>
        <w:tc>
          <w:tcPr>
            <w:tcW w:w="1361" w:type="dxa"/>
            <w:vAlign w:val="center"/>
          </w:tcPr>
          <w:p>
            <w:pPr>
              <w:pStyle w:val="26"/>
            </w:pPr>
            <w:r>
              <w:t>697.31</w:t>
            </w:r>
          </w:p>
        </w:tc>
        <w:tc>
          <w:tcPr>
            <w:tcW w:w="1361" w:type="dxa"/>
            <w:vAlign w:val="center"/>
          </w:tcPr>
          <w:p>
            <w:pPr>
              <w:pStyle w:val="26"/>
            </w:pPr>
            <w:r>
              <w:t>57.90</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755.21</w:t>
            </w:r>
          </w:p>
        </w:tc>
        <w:tc>
          <w:tcPr>
            <w:tcW w:w="1361" w:type="dxa"/>
            <w:vAlign w:val="center"/>
          </w:tcPr>
          <w:p>
            <w:pPr>
              <w:pStyle w:val="22"/>
            </w:pPr>
            <w:r>
              <w:t>697.31</w:t>
            </w:r>
          </w:p>
        </w:tc>
        <w:tc>
          <w:tcPr>
            <w:tcW w:w="1361" w:type="dxa"/>
            <w:vAlign w:val="center"/>
          </w:tcPr>
          <w:p>
            <w:pPr>
              <w:pStyle w:val="22"/>
            </w:pPr>
            <w:r>
              <w:t>57.90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755.21</w:t>
            </w:r>
          </w:p>
        </w:tc>
        <w:tc>
          <w:tcPr>
            <w:tcW w:w="1361" w:type="dxa"/>
            <w:vAlign w:val="center"/>
          </w:tcPr>
          <w:p>
            <w:pPr>
              <w:pStyle w:val="22"/>
            </w:pPr>
            <w:r>
              <w:t>697.31</w:t>
            </w:r>
          </w:p>
        </w:tc>
        <w:tc>
          <w:tcPr>
            <w:tcW w:w="1361" w:type="dxa"/>
            <w:vAlign w:val="center"/>
          </w:tcPr>
          <w:p>
            <w:pPr>
              <w:pStyle w:val="22"/>
            </w:pPr>
            <w:r>
              <w:t>57.90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20.00</w:t>
            </w:r>
          </w:p>
        </w:tc>
        <w:tc>
          <w:tcPr>
            <w:tcW w:w="1361" w:type="dxa"/>
            <w:vAlign w:val="center"/>
          </w:tcPr>
          <w:p>
            <w:pPr>
              <w:pStyle w:val="22"/>
            </w:pPr>
            <w:r>
              <w:t>1.80</w:t>
            </w:r>
          </w:p>
        </w:tc>
        <w:tc>
          <w:tcPr>
            <w:tcW w:w="1361" w:type="dxa"/>
            <w:vAlign w:val="center"/>
          </w:tcPr>
          <w:p>
            <w:pPr>
              <w:pStyle w:val="22"/>
            </w:pPr>
            <w:r>
              <w:t>18.20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735.21</w:t>
            </w:r>
          </w:p>
        </w:tc>
        <w:tc>
          <w:tcPr>
            <w:tcW w:w="1361" w:type="dxa"/>
            <w:vAlign w:val="center"/>
          </w:tcPr>
          <w:p>
            <w:pPr>
              <w:pStyle w:val="22"/>
            </w:pPr>
            <w:r>
              <w:t>695.51</w:t>
            </w:r>
          </w:p>
        </w:tc>
        <w:tc>
          <w:tcPr>
            <w:tcW w:w="1361" w:type="dxa"/>
            <w:vAlign w:val="center"/>
          </w:tcPr>
          <w:p>
            <w:pPr>
              <w:pStyle w:val="22"/>
            </w:pPr>
            <w:r>
              <w:t>39.70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755.21</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755.21</w:t>
            </w:r>
          </w:p>
        </w:tc>
        <w:tc>
          <w:tcPr>
            <w:tcW w:w="1474" w:type="dxa"/>
            <w:vAlign w:val="center"/>
          </w:tcPr>
          <w:p>
            <w:pPr>
              <w:pStyle w:val="22"/>
            </w:pPr>
            <w:r>
              <w:t>755.21</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755.21</w:t>
            </w:r>
          </w:p>
        </w:tc>
        <w:tc>
          <w:tcPr>
            <w:tcW w:w="3402" w:type="dxa"/>
            <w:vAlign w:val="center"/>
          </w:tcPr>
          <w:p>
            <w:pPr>
              <w:pStyle w:val="25"/>
            </w:pPr>
            <w:r>
              <w:t>本年支出合计</w:t>
            </w:r>
          </w:p>
        </w:tc>
        <w:tc>
          <w:tcPr>
            <w:tcW w:w="1474" w:type="dxa"/>
            <w:vAlign w:val="center"/>
          </w:tcPr>
          <w:p>
            <w:pPr>
              <w:pStyle w:val="26"/>
            </w:pPr>
            <w:r>
              <w:t>755.21</w:t>
            </w:r>
          </w:p>
        </w:tc>
        <w:tc>
          <w:tcPr>
            <w:tcW w:w="1474" w:type="dxa"/>
            <w:vAlign w:val="center"/>
          </w:tcPr>
          <w:p>
            <w:pPr>
              <w:pStyle w:val="26"/>
            </w:pPr>
            <w:r>
              <w:t>755.21</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rPr>
                <w:lang w:eastAsia="zh-CN"/>
              </w:rPr>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rPr>
                <w:lang w:eastAsia="zh-CN"/>
              </w:rPr>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755.21</w:t>
            </w:r>
          </w:p>
        </w:tc>
        <w:tc>
          <w:tcPr>
            <w:tcW w:w="3402" w:type="dxa"/>
            <w:vAlign w:val="center"/>
          </w:tcPr>
          <w:p>
            <w:pPr>
              <w:pStyle w:val="25"/>
            </w:pPr>
            <w:r>
              <w:t>支出总计</w:t>
            </w:r>
          </w:p>
        </w:tc>
        <w:tc>
          <w:tcPr>
            <w:tcW w:w="1474" w:type="dxa"/>
            <w:vAlign w:val="center"/>
          </w:tcPr>
          <w:p>
            <w:pPr>
              <w:pStyle w:val="26"/>
            </w:pPr>
            <w:r>
              <w:t>755.21</w:t>
            </w:r>
          </w:p>
        </w:tc>
        <w:tc>
          <w:tcPr>
            <w:tcW w:w="1474" w:type="dxa"/>
            <w:vAlign w:val="center"/>
          </w:tcPr>
          <w:p>
            <w:pPr>
              <w:pStyle w:val="26"/>
            </w:pPr>
            <w:r>
              <w:t>755.21</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755.21</w:t>
            </w:r>
          </w:p>
        </w:tc>
        <w:tc>
          <w:tcPr>
            <w:tcW w:w="2551" w:type="dxa"/>
            <w:vAlign w:val="center"/>
          </w:tcPr>
          <w:p>
            <w:pPr>
              <w:pStyle w:val="26"/>
            </w:pPr>
            <w:r>
              <w:t>697.31</w:t>
            </w:r>
          </w:p>
        </w:tc>
        <w:tc>
          <w:tcPr>
            <w:tcW w:w="2551" w:type="dxa"/>
            <w:vAlign w:val="center"/>
          </w:tcPr>
          <w:p>
            <w:pPr>
              <w:pStyle w:val="26"/>
            </w:pPr>
            <w:r>
              <w:t>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755.21</w:t>
            </w:r>
          </w:p>
        </w:tc>
        <w:tc>
          <w:tcPr>
            <w:tcW w:w="2551" w:type="dxa"/>
            <w:vAlign w:val="center"/>
          </w:tcPr>
          <w:p>
            <w:pPr>
              <w:pStyle w:val="22"/>
            </w:pPr>
            <w:r>
              <w:t>697.31</w:t>
            </w:r>
          </w:p>
        </w:tc>
        <w:tc>
          <w:tcPr>
            <w:tcW w:w="2551" w:type="dxa"/>
            <w:vAlign w:val="center"/>
          </w:tcPr>
          <w:p>
            <w:pPr>
              <w:pStyle w:val="22"/>
            </w:pPr>
            <w:r>
              <w:t>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755.21</w:t>
            </w:r>
          </w:p>
        </w:tc>
        <w:tc>
          <w:tcPr>
            <w:tcW w:w="2551" w:type="dxa"/>
            <w:vAlign w:val="center"/>
          </w:tcPr>
          <w:p>
            <w:pPr>
              <w:pStyle w:val="22"/>
            </w:pPr>
            <w:r>
              <w:t>697.31</w:t>
            </w:r>
          </w:p>
        </w:tc>
        <w:tc>
          <w:tcPr>
            <w:tcW w:w="2551" w:type="dxa"/>
            <w:vAlign w:val="center"/>
          </w:tcPr>
          <w:p>
            <w:pPr>
              <w:pStyle w:val="22"/>
            </w:pPr>
            <w:r>
              <w:t>57.90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20.00</w:t>
            </w:r>
          </w:p>
        </w:tc>
        <w:tc>
          <w:tcPr>
            <w:tcW w:w="2551" w:type="dxa"/>
            <w:vAlign w:val="center"/>
          </w:tcPr>
          <w:p>
            <w:pPr>
              <w:pStyle w:val="22"/>
            </w:pPr>
            <w:r>
              <w:t>1.80</w:t>
            </w:r>
          </w:p>
        </w:tc>
        <w:tc>
          <w:tcPr>
            <w:tcW w:w="2551" w:type="dxa"/>
            <w:vAlign w:val="center"/>
          </w:tcPr>
          <w:p>
            <w:pPr>
              <w:pStyle w:val="22"/>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735.21</w:t>
            </w:r>
          </w:p>
        </w:tc>
        <w:tc>
          <w:tcPr>
            <w:tcW w:w="2551" w:type="dxa"/>
            <w:vAlign w:val="center"/>
          </w:tcPr>
          <w:p>
            <w:pPr>
              <w:pStyle w:val="22"/>
            </w:pPr>
            <w:r>
              <w:t>695.51</w:t>
            </w:r>
          </w:p>
        </w:tc>
        <w:tc>
          <w:tcPr>
            <w:tcW w:w="2551" w:type="dxa"/>
            <w:vAlign w:val="center"/>
          </w:tcPr>
          <w:p>
            <w:pPr>
              <w:pStyle w:val="22"/>
            </w:pPr>
            <w:r>
              <w:t>39.70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697.31</w:t>
            </w:r>
          </w:p>
        </w:tc>
        <w:tc>
          <w:tcPr>
            <w:tcW w:w="2551" w:type="dxa"/>
            <w:vAlign w:val="center"/>
          </w:tcPr>
          <w:p>
            <w:pPr>
              <w:pStyle w:val="26"/>
            </w:pPr>
            <w:r>
              <w:t>686.00</w:t>
            </w:r>
          </w:p>
        </w:tc>
        <w:tc>
          <w:tcPr>
            <w:tcW w:w="2551" w:type="dxa"/>
            <w:vAlign w:val="center"/>
          </w:tcPr>
          <w:p>
            <w:pPr>
              <w:pStyle w:val="26"/>
            </w:pPr>
            <w:r>
              <w:t>11.31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567.84</w:t>
            </w:r>
          </w:p>
        </w:tc>
        <w:tc>
          <w:tcPr>
            <w:tcW w:w="2551" w:type="dxa"/>
            <w:vAlign w:val="center"/>
          </w:tcPr>
          <w:p>
            <w:pPr>
              <w:pStyle w:val="22"/>
            </w:pPr>
            <w:r>
              <w:t>567.84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161.96</w:t>
            </w:r>
          </w:p>
        </w:tc>
        <w:tc>
          <w:tcPr>
            <w:tcW w:w="2551" w:type="dxa"/>
            <w:vAlign w:val="center"/>
          </w:tcPr>
          <w:p>
            <w:pPr>
              <w:pStyle w:val="22"/>
            </w:pPr>
            <w:r>
              <w:t>161.96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38.04</w:t>
            </w:r>
          </w:p>
        </w:tc>
        <w:tc>
          <w:tcPr>
            <w:tcW w:w="2551" w:type="dxa"/>
            <w:vAlign w:val="center"/>
          </w:tcPr>
          <w:p>
            <w:pPr>
              <w:pStyle w:val="22"/>
            </w:pPr>
            <w:r>
              <w:t>38.04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212.01</w:t>
            </w:r>
          </w:p>
        </w:tc>
        <w:tc>
          <w:tcPr>
            <w:tcW w:w="2551" w:type="dxa"/>
            <w:vAlign w:val="center"/>
          </w:tcPr>
          <w:p>
            <w:pPr>
              <w:pStyle w:val="22"/>
            </w:pPr>
            <w:r>
              <w:t>212.01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51.29</w:t>
            </w:r>
          </w:p>
        </w:tc>
        <w:tc>
          <w:tcPr>
            <w:tcW w:w="2551" w:type="dxa"/>
            <w:vAlign w:val="center"/>
          </w:tcPr>
          <w:p>
            <w:pPr>
              <w:pStyle w:val="22"/>
            </w:pPr>
            <w:r>
              <w:t>51.29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15.15</w:t>
            </w:r>
          </w:p>
        </w:tc>
        <w:tc>
          <w:tcPr>
            <w:tcW w:w="2551" w:type="dxa"/>
            <w:vAlign w:val="center"/>
          </w:tcPr>
          <w:p>
            <w:pPr>
              <w:pStyle w:val="22"/>
            </w:pPr>
            <w:r>
              <w:t>15.15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14.75</w:t>
            </w:r>
          </w:p>
        </w:tc>
        <w:tc>
          <w:tcPr>
            <w:tcW w:w="2551" w:type="dxa"/>
            <w:vAlign w:val="center"/>
          </w:tcPr>
          <w:p>
            <w:pPr>
              <w:pStyle w:val="22"/>
            </w:pPr>
            <w:r>
              <w:t>14.75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3.68</w:t>
            </w:r>
          </w:p>
        </w:tc>
        <w:tc>
          <w:tcPr>
            <w:tcW w:w="2551" w:type="dxa"/>
            <w:vAlign w:val="center"/>
          </w:tcPr>
          <w:p>
            <w:pPr>
              <w:pStyle w:val="22"/>
            </w:pPr>
            <w:r>
              <w:t>3.68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41.82</w:t>
            </w:r>
          </w:p>
        </w:tc>
        <w:tc>
          <w:tcPr>
            <w:tcW w:w="2551" w:type="dxa"/>
            <w:vAlign w:val="center"/>
          </w:tcPr>
          <w:p>
            <w:pPr>
              <w:pStyle w:val="22"/>
            </w:pPr>
            <w:r>
              <w:t>41.82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29.14</w:t>
            </w:r>
          </w:p>
        </w:tc>
        <w:tc>
          <w:tcPr>
            <w:tcW w:w="2551" w:type="dxa"/>
            <w:vAlign w:val="center"/>
          </w:tcPr>
          <w:p>
            <w:pPr>
              <w:pStyle w:val="22"/>
            </w:pPr>
            <w:r>
              <w:t>29.14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11.31</w:t>
            </w:r>
          </w:p>
        </w:tc>
        <w:tc>
          <w:tcPr>
            <w:tcW w:w="2551" w:type="dxa"/>
            <w:vAlign w:val="center"/>
          </w:tcPr>
          <w:p>
            <w:pPr>
              <w:pStyle w:val="22"/>
            </w:pPr>
          </w:p>
        </w:tc>
        <w:tc>
          <w:tcPr>
            <w:tcW w:w="2551" w:type="dxa"/>
            <w:vAlign w:val="center"/>
          </w:tcPr>
          <w:p>
            <w:pPr>
              <w:pStyle w:val="22"/>
            </w:pPr>
            <w:r>
              <w:t>11.31</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1.80</w:t>
            </w:r>
          </w:p>
        </w:tc>
        <w:tc>
          <w:tcPr>
            <w:tcW w:w="2551" w:type="dxa"/>
            <w:vAlign w:val="center"/>
          </w:tcPr>
          <w:p>
            <w:pPr>
              <w:pStyle w:val="22"/>
            </w:pPr>
          </w:p>
        </w:tc>
        <w:tc>
          <w:tcPr>
            <w:tcW w:w="2551" w:type="dxa"/>
            <w:vAlign w:val="center"/>
          </w:tcPr>
          <w:p>
            <w:pPr>
              <w:pStyle w:val="22"/>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5.50</w:t>
            </w:r>
          </w:p>
        </w:tc>
        <w:tc>
          <w:tcPr>
            <w:tcW w:w="2551" w:type="dxa"/>
            <w:vAlign w:val="center"/>
          </w:tcPr>
          <w:p>
            <w:pPr>
              <w:pStyle w:val="22"/>
            </w:pPr>
          </w:p>
        </w:tc>
        <w:tc>
          <w:tcPr>
            <w:tcW w:w="2551" w:type="dxa"/>
            <w:vAlign w:val="center"/>
          </w:tcPr>
          <w:p>
            <w:pPr>
              <w:pStyle w:val="22"/>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4.01</w:t>
            </w:r>
          </w:p>
        </w:tc>
        <w:tc>
          <w:tcPr>
            <w:tcW w:w="2551" w:type="dxa"/>
            <w:vAlign w:val="center"/>
          </w:tcPr>
          <w:p>
            <w:pPr>
              <w:pStyle w:val="22"/>
            </w:pPr>
          </w:p>
        </w:tc>
        <w:tc>
          <w:tcPr>
            <w:tcW w:w="2551" w:type="dxa"/>
            <w:vAlign w:val="center"/>
          </w:tcPr>
          <w:p>
            <w:pPr>
              <w:pStyle w:val="22"/>
            </w:pPr>
            <w:r>
              <w:t>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118.16</w:t>
            </w:r>
          </w:p>
        </w:tc>
        <w:tc>
          <w:tcPr>
            <w:tcW w:w="2551" w:type="dxa"/>
            <w:vAlign w:val="center"/>
          </w:tcPr>
          <w:p>
            <w:pPr>
              <w:pStyle w:val="22"/>
            </w:pPr>
            <w:r>
              <w:t>118.16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84.72</w:t>
            </w:r>
          </w:p>
        </w:tc>
        <w:tc>
          <w:tcPr>
            <w:tcW w:w="2551" w:type="dxa"/>
            <w:vAlign w:val="center"/>
          </w:tcPr>
          <w:p>
            <w:pPr>
              <w:pStyle w:val="22"/>
            </w:pPr>
            <w:r>
              <w:t>84.72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33.41</w:t>
            </w:r>
          </w:p>
        </w:tc>
        <w:tc>
          <w:tcPr>
            <w:tcW w:w="2551" w:type="dxa"/>
            <w:vAlign w:val="center"/>
          </w:tcPr>
          <w:p>
            <w:pPr>
              <w:pStyle w:val="22"/>
            </w:pPr>
            <w:r>
              <w:t>33.41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0.03</w:t>
            </w:r>
          </w:p>
        </w:tc>
        <w:tc>
          <w:tcPr>
            <w:tcW w:w="2551" w:type="dxa"/>
            <w:vAlign w:val="center"/>
          </w:tcPr>
          <w:p>
            <w:pPr>
              <w:pStyle w:val="22"/>
            </w:pPr>
            <w:r>
              <w:t>0.03</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rPr>
        <w:t>注：无政府基金预算财政拨款预算，空表列示。</w:t>
      </w:r>
    </w:p>
    <w:p>
      <w:pPr>
        <w:jc w:val="center"/>
        <w:outlineLvl w:val="4"/>
      </w:pPr>
      <w:r>
        <w:rPr>
          <w:rFonts w:ascii="方正小标宋_GBK" w:hAnsi="方正小标宋_GBK" w:eastAsia="方正小标宋_GBK" w:cs="方正小标宋_GBK"/>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rPr>
        <w:t>注：无国有资本经营预算财政拨款预算，空表列示。</w:t>
      </w:r>
    </w:p>
    <w:p>
      <w:pPr>
        <w:jc w:val="center"/>
        <w:outlineLvl w:val="4"/>
      </w:pPr>
      <w:r>
        <w:rPr>
          <w:rFonts w:ascii="方正小标宋_GBK" w:hAnsi="方正小标宋_GBK" w:eastAsia="方正小标宋_GBK" w:cs="方正小标宋_GBK"/>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501584霸州市胜芳镇第三小学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1</w:t>
            </w:r>
          </w:p>
        </w:tc>
        <w:tc>
          <w:tcPr>
            <w:tcW w:w="3798" w:type="dxa"/>
            <w:vAlign w:val="center"/>
          </w:tcPr>
          <w:p>
            <w:pPr>
              <w:pStyle w:val="25"/>
              <w:rPr>
                <w:lang w:eastAsia="zh-CN"/>
              </w:rPr>
            </w:pPr>
            <w:r>
              <w:t>合计</w:t>
            </w:r>
          </w:p>
        </w:tc>
        <w:tc>
          <w:tcPr>
            <w:tcW w:w="2382" w:type="dxa"/>
            <w:vAlign w:val="center"/>
          </w:tcPr>
          <w:p>
            <w:pPr>
              <w:pStyle w:val="26"/>
              <w:rPr>
                <w:lang w:eastAsia="zh-CN"/>
              </w:rPr>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2</w:t>
            </w:r>
          </w:p>
        </w:tc>
        <w:tc>
          <w:tcPr>
            <w:tcW w:w="3798" w:type="dxa"/>
            <w:vAlign w:val="center"/>
          </w:tcPr>
          <w:p>
            <w:pPr>
              <w:pStyle w:val="23"/>
              <w:rPr>
                <w:lang w:eastAsia="zh-CN"/>
              </w:rPr>
            </w:pPr>
            <w:r>
              <w:t>一、因公出国（境）费</w:t>
            </w:r>
          </w:p>
        </w:tc>
        <w:tc>
          <w:tcPr>
            <w:tcW w:w="2382" w:type="dxa"/>
            <w:vAlign w:val="center"/>
          </w:tcPr>
          <w:p>
            <w:pPr>
              <w:pStyle w:val="22"/>
              <w:rPr>
                <w:lang w:eastAsia="zh-CN"/>
              </w:rPr>
            </w:pPr>
          </w:p>
        </w:tc>
        <w:tc>
          <w:tcPr>
            <w:tcW w:w="2381" w:type="dxa"/>
            <w:vAlign w:val="center"/>
          </w:tcPr>
          <w:p>
            <w:pPr>
              <w:pStyle w:val="22"/>
              <w:rPr>
                <w:lang w:eastAsia="zh-CN"/>
              </w:rPr>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3</w:t>
            </w:r>
          </w:p>
        </w:tc>
        <w:tc>
          <w:tcPr>
            <w:tcW w:w="3798" w:type="dxa"/>
            <w:vAlign w:val="center"/>
          </w:tcPr>
          <w:p>
            <w:pPr>
              <w:pStyle w:val="23"/>
              <w:rPr>
                <w:lang w:eastAsia="zh-CN"/>
              </w:rPr>
            </w:pPr>
            <w:r>
              <w:t xml:space="preserve">    其中：教学科研人员因公出国（境）费</w:t>
            </w:r>
          </w:p>
        </w:tc>
        <w:tc>
          <w:tcPr>
            <w:tcW w:w="2382" w:type="dxa"/>
            <w:vAlign w:val="center"/>
          </w:tcPr>
          <w:p>
            <w:pPr>
              <w:pStyle w:val="22"/>
              <w:rPr>
                <w:lang w:eastAsia="zh-CN"/>
              </w:rPr>
            </w:pPr>
          </w:p>
        </w:tc>
        <w:tc>
          <w:tcPr>
            <w:tcW w:w="2381" w:type="dxa"/>
            <w:vAlign w:val="center"/>
          </w:tcPr>
          <w:p>
            <w:pPr>
              <w:pStyle w:val="22"/>
              <w:rPr>
                <w:lang w:eastAsia="zh-CN"/>
              </w:rPr>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4</w:t>
            </w:r>
          </w:p>
        </w:tc>
        <w:tc>
          <w:tcPr>
            <w:tcW w:w="3798" w:type="dxa"/>
            <w:vAlign w:val="center"/>
          </w:tcPr>
          <w:p>
            <w:pPr>
              <w:pStyle w:val="23"/>
              <w:rPr>
                <w:lang w:eastAsia="zh-CN"/>
              </w:rPr>
            </w:pPr>
            <w:r>
              <w:t xml:space="preserve">          其他因公出国（境）费</w:t>
            </w:r>
          </w:p>
        </w:tc>
        <w:tc>
          <w:tcPr>
            <w:tcW w:w="2382" w:type="dxa"/>
            <w:vAlign w:val="center"/>
          </w:tcPr>
          <w:p>
            <w:pPr>
              <w:pStyle w:val="22"/>
              <w:rPr>
                <w:lang w:eastAsia="zh-CN"/>
              </w:rPr>
            </w:pPr>
          </w:p>
        </w:tc>
        <w:tc>
          <w:tcPr>
            <w:tcW w:w="2381" w:type="dxa"/>
            <w:vAlign w:val="center"/>
          </w:tcPr>
          <w:p>
            <w:pPr>
              <w:pStyle w:val="22"/>
              <w:rPr>
                <w:lang w:eastAsia="zh-CN"/>
              </w:rPr>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5</w:t>
            </w:r>
          </w:p>
        </w:tc>
        <w:tc>
          <w:tcPr>
            <w:tcW w:w="3798" w:type="dxa"/>
            <w:vAlign w:val="center"/>
          </w:tcPr>
          <w:p>
            <w:pPr>
              <w:pStyle w:val="23"/>
              <w:rPr>
                <w:lang w:eastAsia="zh-CN"/>
              </w:rPr>
            </w:pPr>
            <w:r>
              <w:t>二、公务用车购置及运维费</w:t>
            </w:r>
          </w:p>
        </w:tc>
        <w:tc>
          <w:tcPr>
            <w:tcW w:w="2382" w:type="dxa"/>
            <w:vAlign w:val="center"/>
          </w:tcPr>
          <w:p>
            <w:pPr>
              <w:pStyle w:val="22"/>
              <w:rPr>
                <w:lang w:eastAsia="zh-CN"/>
              </w:rPr>
            </w:pPr>
            <w:r>
              <w:t>0.00</w:t>
            </w:r>
          </w:p>
        </w:tc>
        <w:tc>
          <w:tcPr>
            <w:tcW w:w="2381" w:type="dxa"/>
            <w:vAlign w:val="center"/>
          </w:tcPr>
          <w:p>
            <w:pPr>
              <w:pStyle w:val="22"/>
              <w:rPr>
                <w:lang w:eastAsia="zh-CN"/>
              </w:rPr>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6</w:t>
            </w:r>
          </w:p>
        </w:tc>
        <w:tc>
          <w:tcPr>
            <w:tcW w:w="3798" w:type="dxa"/>
            <w:vAlign w:val="center"/>
          </w:tcPr>
          <w:p>
            <w:pPr>
              <w:pStyle w:val="23"/>
              <w:rPr>
                <w:lang w:eastAsia="zh-CN"/>
              </w:rPr>
            </w:pPr>
            <w:r>
              <w:t xml:space="preserve">    其中：公务用车购置费</w:t>
            </w:r>
          </w:p>
        </w:tc>
        <w:tc>
          <w:tcPr>
            <w:tcW w:w="2382" w:type="dxa"/>
            <w:vAlign w:val="center"/>
          </w:tcPr>
          <w:p>
            <w:pPr>
              <w:pStyle w:val="22"/>
              <w:rPr>
                <w:lang w:eastAsia="zh-CN"/>
              </w:rPr>
            </w:pPr>
          </w:p>
        </w:tc>
        <w:tc>
          <w:tcPr>
            <w:tcW w:w="2381" w:type="dxa"/>
            <w:vAlign w:val="center"/>
          </w:tcPr>
          <w:p>
            <w:pPr>
              <w:pStyle w:val="22"/>
              <w:rPr>
                <w:lang w:eastAsia="zh-CN"/>
              </w:rPr>
            </w:pP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7</w:t>
            </w:r>
          </w:p>
        </w:tc>
        <w:tc>
          <w:tcPr>
            <w:tcW w:w="3798" w:type="dxa"/>
            <w:vAlign w:val="center"/>
          </w:tcPr>
          <w:p>
            <w:pPr>
              <w:pStyle w:val="23"/>
              <w:rPr>
                <w:lang w:eastAsia="zh-CN"/>
              </w:rPr>
            </w:pPr>
            <w:r>
              <w:t xml:space="preserve">          公务用车运行维护费</w:t>
            </w:r>
          </w:p>
        </w:tc>
        <w:tc>
          <w:tcPr>
            <w:tcW w:w="2382" w:type="dxa"/>
            <w:vAlign w:val="center"/>
          </w:tcPr>
          <w:p>
            <w:pPr>
              <w:pStyle w:val="22"/>
              <w:rPr>
                <w:lang w:eastAsia="zh-CN"/>
              </w:rPr>
            </w:pPr>
            <w:r>
              <w:t>0.00</w:t>
            </w:r>
          </w:p>
        </w:tc>
        <w:tc>
          <w:tcPr>
            <w:tcW w:w="2381" w:type="dxa"/>
            <w:vAlign w:val="center"/>
          </w:tcPr>
          <w:p>
            <w:pPr>
              <w:pStyle w:val="22"/>
              <w:rPr>
                <w:lang w:eastAsia="zh-CN"/>
              </w:rPr>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r>
              <w:rPr>
                <w:rFonts w:hint="eastAsia"/>
                <w:lang w:eastAsia="zh-CN"/>
              </w:rPr>
              <w:t>8</w:t>
            </w:r>
          </w:p>
        </w:tc>
        <w:tc>
          <w:tcPr>
            <w:tcW w:w="3798" w:type="dxa"/>
            <w:vAlign w:val="center"/>
          </w:tcPr>
          <w:p>
            <w:pPr>
              <w:pStyle w:val="23"/>
              <w:rPr>
                <w:lang w:eastAsia="zh-CN"/>
              </w:rPr>
            </w:pPr>
            <w:r>
              <w:t>三、公务接待费</w:t>
            </w:r>
          </w:p>
        </w:tc>
        <w:tc>
          <w:tcPr>
            <w:tcW w:w="2382" w:type="dxa"/>
            <w:vAlign w:val="center"/>
          </w:tcPr>
          <w:p>
            <w:pPr>
              <w:pStyle w:val="22"/>
              <w:rPr>
                <w:lang w:eastAsia="zh-CN"/>
              </w:rPr>
            </w:pPr>
            <w:r>
              <w:t>0.00</w:t>
            </w:r>
          </w:p>
        </w:tc>
        <w:tc>
          <w:tcPr>
            <w:tcW w:w="2381" w:type="dxa"/>
            <w:vAlign w:val="center"/>
          </w:tcPr>
          <w:p>
            <w:pPr>
              <w:pStyle w:val="22"/>
              <w:rPr>
                <w:lang w:eastAsia="zh-CN"/>
              </w:rPr>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rPr>
                <w:lang w:eastAsia="zh-CN"/>
              </w:rPr>
            </w:pPr>
          </w:p>
        </w:tc>
        <w:tc>
          <w:tcPr>
            <w:tcW w:w="3798" w:type="dxa"/>
            <w:vAlign w:val="center"/>
          </w:tcPr>
          <w:p>
            <w:pPr>
              <w:pStyle w:val="23"/>
              <w:rPr>
                <w:lang w:eastAsia="zh-CN"/>
              </w:rPr>
            </w:pPr>
          </w:p>
        </w:tc>
        <w:tc>
          <w:tcPr>
            <w:tcW w:w="2382" w:type="dxa"/>
            <w:vAlign w:val="center"/>
          </w:tcPr>
          <w:p>
            <w:pPr>
              <w:pStyle w:val="22"/>
              <w:rPr>
                <w:lang w:eastAsia="zh-CN"/>
              </w:rPr>
            </w:pPr>
          </w:p>
        </w:tc>
        <w:tc>
          <w:tcPr>
            <w:tcW w:w="2381" w:type="dxa"/>
            <w:vAlign w:val="center"/>
          </w:tcPr>
          <w:p>
            <w:pPr>
              <w:pStyle w:val="22"/>
              <w:rPr>
                <w:lang w:eastAsia="zh-CN"/>
              </w:rPr>
            </w:pP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rPr>
        <w:t>注：无财政拨款“三公”经费支出表预算，空表列示。</w:t>
      </w:r>
    </w:p>
    <w:p>
      <w:pPr>
        <w:jc w:val="center"/>
        <w:outlineLvl w:val="4"/>
      </w:pPr>
      <w:r>
        <w:rPr>
          <w:rFonts w:ascii="方正小标宋_GBK" w:hAnsi="方正小标宋_GBK" w:eastAsia="方正小标宋_GBK" w:cs="方正小标宋_GBK"/>
          <w:sz w:val="44"/>
        </w:rPr>
        <w:t>霸州市胜芳镇第三小学2023年单位预算信息公开情况说明</w:t>
      </w:r>
    </w:p>
    <w:p>
      <w:pPr>
        <w:spacing w:line="500" w:lineRule="exact"/>
        <w:ind w:firstLine="560"/>
      </w:pPr>
      <w:r>
        <w:rPr>
          <w:rFonts w:eastAsia="方正仿宋_GBK"/>
          <w:sz w:val="28"/>
        </w:rPr>
        <w:t>按照《预算法》、《地方预决算公开操作规程》和《关于进一步推进预算公开工作的实施意见》规定，现将霸州市胜芳镇第三小学2023年单位预算公开如下：</w:t>
      </w:r>
    </w:p>
    <w:p>
      <w:pPr>
        <w:spacing w:before="10" w:after="10"/>
        <w:ind w:firstLine="640"/>
        <w:outlineLvl w:val="5"/>
      </w:pPr>
      <w:r>
        <w:rPr>
          <w:rFonts w:ascii="黑体" w:hAnsi="黑体" w:eastAsia="黑体" w:cs="黑体"/>
          <w:sz w:val="32"/>
        </w:rPr>
        <w:t>一、单位职责及机构设置情况</w:t>
      </w:r>
    </w:p>
    <w:p>
      <w:pPr>
        <w:ind w:firstLine="640"/>
      </w:pPr>
      <w:r>
        <w:rPr>
          <w:rFonts w:ascii="方正楷体_GBK" w:hAnsi="方正楷体_GBK" w:eastAsia="方正楷体_GBK" w:cs="方正楷体_GBK"/>
          <w:b/>
          <w:sz w:val="32"/>
        </w:rPr>
        <w:t>单位职责：</w:t>
      </w:r>
    </w:p>
    <w:p>
      <w:pPr>
        <w:spacing w:line="584" w:lineRule="exact"/>
        <w:ind w:firstLine="560" w:firstLineChars="200"/>
        <w:rPr>
          <w:rFonts w:eastAsia="方正仿宋_GBK"/>
          <w:lang w:eastAsia="zh-CN"/>
        </w:rPr>
      </w:pPr>
      <w:r>
        <w:rPr>
          <w:rFonts w:hint="eastAsia" w:ascii="方正仿宋_GBK" w:eastAsia="方正仿宋_GBK"/>
          <w:sz w:val="28"/>
        </w:rPr>
        <w:t>实施小学义务教育，促进基础教育发展。小学学历教育</w:t>
      </w:r>
      <w:r>
        <w:rPr>
          <w:rFonts w:hint="eastAsia" w:ascii="方正仿宋_GBK" w:eastAsia="方正仿宋_GBK"/>
          <w:sz w:val="28"/>
          <w:lang w:eastAsia="zh-CN"/>
        </w:rPr>
        <w:t>。</w:t>
      </w:r>
    </w:p>
    <w:p>
      <w:pPr>
        <w:ind w:firstLine="640"/>
      </w:pPr>
      <w:r>
        <w:rPr>
          <w:rFonts w:ascii="方正楷体_GBK" w:hAnsi="方正楷体_GBK" w:eastAsia="方正楷体_GBK" w:cs="方正楷体_GBK"/>
          <w:b/>
          <w:sz w:val="32"/>
        </w:rPr>
        <w:t>机构设置：</w:t>
      </w:r>
    </w:p>
    <w:p>
      <w:pPr>
        <w:jc w:val="center"/>
      </w:pPr>
      <w:r>
        <w:rPr>
          <w:rFonts w:ascii="方正小标宋_GBK" w:hAnsi="方正小标宋_GBK" w:eastAsia="方正小标宋_GBK" w:cs="方正小标宋_GBK"/>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霸州市胜芳镇第三小学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pPr>
      <w:r>
        <w:rPr>
          <w:rFonts w:ascii="黑体" w:hAnsi="黑体" w:eastAsia="黑体" w:cs="黑体"/>
          <w:sz w:val="32"/>
        </w:rPr>
        <w:t>二、单位预算安排的总体情况</w:t>
      </w:r>
    </w:p>
    <w:p>
      <w:pPr>
        <w:spacing w:line="500" w:lineRule="exact"/>
        <w:ind w:firstLine="560"/>
        <w:rPr>
          <w:rFonts w:ascii="方正仿宋_GBK" w:eastAsia="方正仿宋_GBK"/>
        </w:rPr>
      </w:pPr>
      <w:r>
        <w:rPr>
          <w:rFonts w:hint="eastAsia" w:ascii="方正仿宋_GBK" w:eastAsia="方正仿宋_GBK"/>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t>755.21</w:t>
      </w:r>
      <w:r>
        <w:rPr>
          <w:rFonts w:hint="eastAsia" w:ascii="方正仿宋_GBK"/>
        </w:rPr>
        <w:t>万元，其中：一般公共预算收入</w:t>
      </w:r>
      <w:r>
        <w:t>755.21</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7"/>
        <w:jc w:val="both"/>
        <w:rPr>
          <w:rFonts w:ascii="方正仿宋_GBK"/>
        </w:rPr>
      </w:pPr>
      <w:r>
        <w:rPr>
          <w:rFonts w:hint="eastAsia" w:ascii="方正仿宋_GBK"/>
        </w:rPr>
        <w:t>2、支出说明</w:t>
      </w:r>
    </w:p>
    <w:p>
      <w:pPr>
        <w:pStyle w:val="37"/>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胜芳镇第三小学</w:t>
      </w:r>
      <w:r>
        <w:rPr>
          <w:rFonts w:hint="eastAsia" w:ascii="方正仿宋_GBK"/>
        </w:rPr>
        <w:t>2023年度单位预算中支出预算的总体情况。2023年支出预算</w:t>
      </w:r>
      <w:r>
        <w:t>755.21</w:t>
      </w:r>
      <w:r>
        <w:rPr>
          <w:rFonts w:hint="eastAsia" w:ascii="方正仿宋_GBK"/>
        </w:rPr>
        <w:t>万元，其中：基本支出</w:t>
      </w:r>
      <w:r>
        <w:t>697.31</w:t>
      </w:r>
      <w:r>
        <w:rPr>
          <w:rFonts w:hint="eastAsia" w:ascii="方正仿宋_GBK"/>
        </w:rPr>
        <w:t>万元，包括人员经费</w:t>
      </w:r>
      <w:r>
        <w:rPr>
          <w:rFonts w:hint="eastAsia" w:ascii="方正仿宋_GBK"/>
          <w:lang w:eastAsia="zh-CN"/>
        </w:rPr>
        <w:t>686.00</w:t>
      </w:r>
      <w:r>
        <w:rPr>
          <w:rFonts w:hint="eastAsia" w:ascii="方正仿宋_GBK"/>
        </w:rPr>
        <w:t>万元和日常公用经费</w:t>
      </w:r>
      <w:r>
        <w:rPr>
          <w:rFonts w:hint="eastAsia" w:ascii="方正仿宋_GBK"/>
          <w:lang w:eastAsia="zh-CN"/>
        </w:rPr>
        <w:t>11.31</w:t>
      </w:r>
      <w:r>
        <w:rPr>
          <w:rFonts w:hint="eastAsia" w:ascii="方正仿宋_GBK"/>
        </w:rPr>
        <w:t>万元；项目支出</w:t>
      </w:r>
      <w:r>
        <w:rPr>
          <w:rFonts w:hint="eastAsia" w:ascii="方正仿宋_GBK"/>
          <w:lang w:eastAsia="zh-CN"/>
        </w:rPr>
        <w:t>57.90</w:t>
      </w:r>
      <w:r>
        <w:rPr>
          <w:rFonts w:hint="eastAsia" w:ascii="方正仿宋_GBK"/>
        </w:rPr>
        <w:t>万元，主要为：</w:t>
      </w:r>
      <w:r>
        <w:rPr>
          <w:color w:val="000000"/>
        </w:rPr>
        <w:t>城乡义务教育补助生均经费本级配套资金</w:t>
      </w:r>
      <w:r>
        <w:rPr>
          <w:rFonts w:hint="eastAsia"/>
          <w:color w:val="000000"/>
        </w:rPr>
        <w:t>、</w:t>
      </w:r>
      <w:r>
        <w:rPr>
          <w:color w:val="000000"/>
        </w:rPr>
        <w:t>关于提前下达202</w:t>
      </w:r>
      <w:r>
        <w:rPr>
          <w:rFonts w:hint="eastAsia"/>
          <w:color w:val="000000"/>
          <w:lang w:eastAsia="zh-CN"/>
        </w:rPr>
        <w:t>3</w:t>
      </w:r>
      <w:r>
        <w:rPr>
          <w:color w:val="000000"/>
        </w:rPr>
        <w:t>年城乡义务教育省级补助资金预算的通知(公用经费)(冀财教[202</w:t>
      </w:r>
      <w:r>
        <w:rPr>
          <w:rFonts w:hint="eastAsia"/>
          <w:color w:val="000000"/>
          <w:lang w:eastAsia="zh-CN"/>
        </w:rPr>
        <w:t>2</w:t>
      </w:r>
      <w:r>
        <w:rPr>
          <w:color w:val="000000"/>
        </w:rPr>
        <w:t>]16</w:t>
      </w:r>
      <w:r>
        <w:rPr>
          <w:rFonts w:hint="eastAsia"/>
          <w:color w:val="000000"/>
          <w:lang w:eastAsia="zh-CN"/>
        </w:rPr>
        <w:t>2</w:t>
      </w:r>
      <w:r>
        <w:rPr>
          <w:color w:val="000000"/>
        </w:rPr>
        <w:t>号)</w:t>
      </w:r>
      <w:r>
        <w:rPr>
          <w:rFonts w:hint="eastAsia"/>
          <w:color w:val="000000"/>
        </w:rPr>
        <w:t>、</w:t>
      </w:r>
      <w:r>
        <w:rPr>
          <w:color w:val="000000"/>
        </w:rPr>
        <w:t>关于提前下达202</w:t>
      </w:r>
      <w:r>
        <w:rPr>
          <w:rFonts w:hint="eastAsia"/>
          <w:color w:val="000000"/>
          <w:lang w:eastAsia="zh-CN"/>
        </w:rPr>
        <w:t>3</w:t>
      </w:r>
      <w:r>
        <w:rPr>
          <w:color w:val="000000"/>
        </w:rPr>
        <w:t>年城乡义务教育中央补助经费预算(直达资金)的通知(公用经费)(冀财教[202</w:t>
      </w:r>
      <w:r>
        <w:rPr>
          <w:rFonts w:hint="eastAsia"/>
          <w:color w:val="000000"/>
          <w:lang w:eastAsia="zh-CN"/>
        </w:rPr>
        <w:t>2</w:t>
      </w:r>
      <w:r>
        <w:rPr>
          <w:color w:val="000000"/>
        </w:rPr>
        <w:t>]</w:t>
      </w:r>
      <w:r>
        <w:rPr>
          <w:rFonts w:hint="eastAsia"/>
          <w:color w:val="000000"/>
          <w:lang w:eastAsia="zh-CN"/>
        </w:rPr>
        <w:t>179</w:t>
      </w:r>
      <w:r>
        <w:rPr>
          <w:color w:val="000000"/>
        </w:rPr>
        <w:t>号 )</w:t>
      </w:r>
      <w:r>
        <w:rPr>
          <w:rFonts w:hint="eastAsia"/>
          <w:color w:val="000000"/>
        </w:rPr>
        <w:t>、</w:t>
      </w:r>
      <w:r>
        <w:rPr>
          <w:color w:val="000000"/>
        </w:rPr>
        <w:t>幼儿保教经费</w:t>
      </w:r>
      <w:r>
        <w:rPr>
          <w:rFonts w:hint="eastAsia"/>
          <w:color w:val="000000"/>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t>755.21</w:t>
      </w:r>
      <w:r>
        <w:rPr>
          <w:rFonts w:hint="eastAsia" w:ascii="方正仿宋_GBK"/>
        </w:rPr>
        <w:t>万元，较2022年预算增加</w:t>
      </w:r>
      <w:r>
        <w:rPr>
          <w:rFonts w:hint="eastAsia" w:ascii="方正仿宋_GBK"/>
          <w:lang w:eastAsia="zh-CN"/>
        </w:rPr>
        <w:t>114.53</w:t>
      </w:r>
      <w:r>
        <w:rPr>
          <w:rFonts w:hint="eastAsia" w:ascii="方正仿宋_GBK"/>
        </w:rPr>
        <w:t>万元，其中：基本支出增加</w:t>
      </w:r>
      <w:r>
        <w:rPr>
          <w:rFonts w:hint="eastAsia" w:ascii="方正仿宋_GBK"/>
          <w:lang w:eastAsia="zh-CN"/>
        </w:rPr>
        <w:t>96.42</w:t>
      </w:r>
      <w:r>
        <w:rPr>
          <w:rFonts w:hint="eastAsia" w:ascii="方正仿宋_GBK"/>
        </w:rPr>
        <w:t>万元，主要为</w:t>
      </w:r>
      <w:r>
        <w:rPr>
          <w:rFonts w:hint="eastAsia" w:ascii="方正仿宋_GBK"/>
          <w:lang w:eastAsia="zh-CN"/>
        </w:rPr>
        <w:t>增加人员经费</w:t>
      </w:r>
      <w:r>
        <w:rPr>
          <w:rFonts w:hint="eastAsia" w:ascii="方正仿宋_GBK"/>
        </w:rPr>
        <w:t>支出；项目支出减少</w:t>
      </w:r>
      <w:r>
        <w:rPr>
          <w:rFonts w:hint="eastAsia" w:ascii="方正仿宋_GBK"/>
          <w:lang w:eastAsia="zh-CN"/>
        </w:rPr>
        <w:t>1.89</w:t>
      </w:r>
      <w:r>
        <w:rPr>
          <w:rFonts w:hint="eastAsia" w:ascii="方正仿宋_GBK"/>
        </w:rPr>
        <w:t>万元，主要为</w:t>
      </w:r>
      <w:r>
        <w:rPr>
          <w:rFonts w:hint="eastAsia" w:ascii="方正仿宋_GBK"/>
          <w:lang w:eastAsia="zh-CN"/>
        </w:rPr>
        <w:t>减少日常公用经费项目</w:t>
      </w:r>
      <w:r>
        <w:rPr>
          <w:rFonts w:hint="eastAsia" w:ascii="方正仿宋_GBK"/>
        </w:rPr>
        <w:t>支出。</w:t>
      </w:r>
    </w:p>
    <w:p>
      <w:pPr>
        <w:spacing w:before="10" w:after="10"/>
        <w:ind w:firstLine="640"/>
        <w:outlineLvl w:val="5"/>
        <w:rPr>
          <w:lang w:val="uk-UA"/>
        </w:rPr>
      </w:pPr>
      <w:r>
        <w:rPr>
          <w:rFonts w:ascii="黑体" w:hAnsi="黑体" w:eastAsia="黑体" w:cs="黑体"/>
          <w:sz w:val="32"/>
        </w:rPr>
        <w:t>三、机关运行经费安排情况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69.21</w:t>
      </w:r>
      <w:r>
        <w:rPr>
          <w:rFonts w:hint="eastAsia" w:ascii="方正仿宋_GBK"/>
        </w:rPr>
        <w:t>万元，主要用于工会经费、福利费等日常运行支出。</w:t>
      </w:r>
    </w:p>
    <w:p>
      <w:pPr>
        <w:spacing w:before="10" w:after="10"/>
        <w:ind w:firstLine="640"/>
        <w:outlineLvl w:val="5"/>
      </w:pPr>
      <w:r>
        <w:rPr>
          <w:rFonts w:ascii="黑体" w:hAnsi="黑体" w:eastAsia="黑体" w:cs="黑体"/>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万元。与2022年相比&lt;增加、减少&gt;</w:t>
      </w:r>
      <w:r>
        <w:rPr>
          <w:rFonts w:hint="eastAsia" w:ascii="方正仿宋_GBK"/>
          <w:lang w:eastAsia="zh-CN"/>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sz w:val="32"/>
        </w:rPr>
        <w:t>五、预算绩效信息</w:t>
      </w:r>
    </w:p>
    <w:p>
      <w:pPr>
        <w:ind w:firstLine="560"/>
      </w:pPr>
      <w:r>
        <w:rPr>
          <w:rFonts w:ascii="方正仿宋_GBK" w:hAnsi="方正仿宋_GBK" w:eastAsia="方正仿宋_GBK" w:cs="方正仿宋_GBK"/>
          <w:b/>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≥392人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p>
            <w:pPr>
              <w:pStyle w:val="23"/>
            </w:pPr>
            <w:r>
              <w:t>2.目标内容2</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10.88万元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≥392人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≥392人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2.保障学前三年适龄幼儿顺利接受学前教育</w:t>
            </w:r>
          </w:p>
        </w:tc>
      </w:tr>
    </w:tbl>
    <w:p>
      <w:pPr>
        <w:spacing w:line="2" w:lineRule="exact"/>
        <w:jc w:val="center"/>
      </w:pPr>
      <w:r>
        <w:rPr>
          <w:rFonts w:ascii="方正书宋_GBK" w:hAnsi="方正书宋_GBK" w:eastAsia="方正书宋_GBK" w:cs="方正书宋_GBK"/>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保教人员数量</w:t>
            </w:r>
          </w:p>
        </w:tc>
        <w:tc>
          <w:tcPr>
            <w:tcW w:w="2835" w:type="dxa"/>
            <w:vAlign w:val="center"/>
          </w:tcPr>
          <w:p>
            <w:pPr>
              <w:pStyle w:val="23"/>
            </w:pPr>
            <w:r>
              <w:t>保教人员数量</w:t>
            </w:r>
          </w:p>
        </w:tc>
        <w:tc>
          <w:tcPr>
            <w:tcW w:w="2551" w:type="dxa"/>
            <w:vAlign w:val="center"/>
          </w:tcPr>
          <w:p>
            <w:pPr>
              <w:pStyle w:val="23"/>
            </w:pPr>
            <w:r>
              <w:t>≥5人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≥100人</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适龄幼儿入园率</w:t>
            </w:r>
          </w:p>
        </w:tc>
        <w:tc>
          <w:tcPr>
            <w:tcW w:w="2835" w:type="dxa"/>
            <w:vAlign w:val="center"/>
          </w:tcPr>
          <w:p>
            <w:pPr>
              <w:pStyle w:val="23"/>
            </w:pPr>
            <w:r>
              <w:t>适龄幼儿入园率</w:t>
            </w:r>
          </w:p>
        </w:tc>
        <w:tc>
          <w:tcPr>
            <w:tcW w:w="2551" w:type="dxa"/>
            <w:vAlign w:val="center"/>
          </w:tcPr>
          <w:p>
            <w:pPr>
              <w:pStyle w:val="23"/>
            </w:pPr>
            <w:r>
              <w:t>≥85%</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≤18.2万元</w:t>
            </w:r>
          </w:p>
        </w:tc>
        <w:tc>
          <w:tcPr>
            <w:tcW w:w="2268" w:type="dxa"/>
            <w:vAlign w:val="center"/>
          </w:tcPr>
          <w:p>
            <w:pPr>
              <w:pStyle w:val="23"/>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sz w:val="32"/>
        </w:rPr>
        <w:t>六、政府采购预算情况</w:t>
      </w:r>
    </w:p>
    <w:p>
      <w:pPr>
        <w:spacing w:line="500" w:lineRule="exact"/>
        <w:ind w:firstLine="560"/>
      </w:pPr>
      <w:r>
        <w:rPr>
          <w:rFonts w:eastAsia="方正仿宋_GBK"/>
          <w:sz w:val="28"/>
        </w:rPr>
        <w:t>2023年，霸州市胜芳镇第三小学安排政府采购预算2.18万元。具体内容见下表。</w:t>
      </w:r>
    </w:p>
    <w:p>
      <w:pPr>
        <w:jc w:val="center"/>
      </w:pPr>
      <w:r>
        <w:rPr>
          <w:rFonts w:ascii="方正小标宋_GBK" w:hAnsi="方正小标宋_GBK" w:eastAsia="方正小标宋_GBK" w:cs="方正小标宋_GBK"/>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501584霸州市胜芳镇第三小学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2.18</w:t>
            </w:r>
          </w:p>
        </w:tc>
        <w:tc>
          <w:tcPr>
            <w:tcW w:w="964" w:type="dxa"/>
            <w:vAlign w:val="center"/>
          </w:tcPr>
          <w:p>
            <w:pPr>
              <w:pStyle w:val="26"/>
            </w:pPr>
            <w:r>
              <w:t>2.18</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霸州市胜芳镇第三小学小计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2.18</w:t>
            </w:r>
          </w:p>
        </w:tc>
        <w:tc>
          <w:tcPr>
            <w:tcW w:w="964" w:type="dxa"/>
            <w:vAlign w:val="center"/>
          </w:tcPr>
          <w:p>
            <w:pPr>
              <w:pStyle w:val="26"/>
            </w:pPr>
            <w:r>
              <w:t>2.18</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19.00</w:t>
            </w:r>
          </w:p>
        </w:tc>
        <w:tc>
          <w:tcPr>
            <w:tcW w:w="1134" w:type="dxa"/>
            <w:vAlign w:val="center"/>
          </w:tcPr>
          <w:p>
            <w:pPr>
              <w:pStyle w:val="23"/>
            </w:pPr>
            <w:r>
              <w:t>其他办公设备</w:t>
            </w:r>
          </w:p>
        </w:tc>
        <w:tc>
          <w:tcPr>
            <w:tcW w:w="1134" w:type="dxa"/>
            <w:vAlign w:val="center"/>
          </w:tcPr>
          <w:p>
            <w:pPr>
              <w:pStyle w:val="23"/>
            </w:pPr>
            <w:r>
              <w:t>A02029900</w:t>
            </w:r>
          </w:p>
        </w:tc>
        <w:tc>
          <w:tcPr>
            <w:tcW w:w="709" w:type="dxa"/>
            <w:vAlign w:val="center"/>
          </w:tcPr>
          <w:p>
            <w:pPr>
              <w:pStyle w:val="24"/>
            </w:pPr>
            <w:r>
              <w:t>套</w:t>
            </w:r>
          </w:p>
        </w:tc>
        <w:tc>
          <w:tcPr>
            <w:tcW w:w="850" w:type="dxa"/>
            <w:vAlign w:val="center"/>
          </w:tcPr>
          <w:p>
            <w:pPr>
              <w:pStyle w:val="22"/>
            </w:pPr>
            <w:r>
              <w:t>1</w:t>
            </w:r>
          </w:p>
        </w:tc>
        <w:tc>
          <w:tcPr>
            <w:tcW w:w="850" w:type="dxa"/>
            <w:vAlign w:val="center"/>
          </w:tcPr>
          <w:p>
            <w:pPr>
              <w:pStyle w:val="22"/>
            </w:pPr>
            <w:r>
              <w:t>1.60</w:t>
            </w:r>
          </w:p>
        </w:tc>
        <w:tc>
          <w:tcPr>
            <w:tcW w:w="964" w:type="dxa"/>
            <w:vAlign w:val="center"/>
          </w:tcPr>
          <w:p>
            <w:pPr>
              <w:pStyle w:val="22"/>
            </w:pPr>
            <w:r>
              <w:t>1.60</w:t>
            </w:r>
          </w:p>
        </w:tc>
        <w:tc>
          <w:tcPr>
            <w:tcW w:w="964" w:type="dxa"/>
            <w:vAlign w:val="center"/>
          </w:tcPr>
          <w:p>
            <w:pPr>
              <w:pStyle w:val="22"/>
            </w:pPr>
            <w:r>
              <w:t>1.60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19.00</w:t>
            </w:r>
          </w:p>
        </w:tc>
        <w:tc>
          <w:tcPr>
            <w:tcW w:w="1134" w:type="dxa"/>
            <w:vAlign w:val="center"/>
          </w:tcPr>
          <w:p>
            <w:pPr>
              <w:pStyle w:val="23"/>
            </w:pPr>
            <w:r>
              <w:t>空调机</w:t>
            </w:r>
          </w:p>
        </w:tc>
        <w:tc>
          <w:tcPr>
            <w:tcW w:w="1134" w:type="dxa"/>
            <w:vAlign w:val="center"/>
          </w:tcPr>
          <w:p>
            <w:pPr>
              <w:pStyle w:val="23"/>
            </w:pPr>
            <w:r>
              <w:t>A02061804</w:t>
            </w:r>
          </w:p>
        </w:tc>
        <w:tc>
          <w:tcPr>
            <w:tcW w:w="709" w:type="dxa"/>
            <w:vAlign w:val="center"/>
          </w:tcPr>
          <w:p>
            <w:pPr>
              <w:pStyle w:val="24"/>
            </w:pPr>
            <w:r>
              <w:t>台</w:t>
            </w:r>
          </w:p>
        </w:tc>
        <w:tc>
          <w:tcPr>
            <w:tcW w:w="850" w:type="dxa"/>
            <w:vAlign w:val="center"/>
          </w:tcPr>
          <w:p>
            <w:pPr>
              <w:pStyle w:val="22"/>
            </w:pPr>
            <w:r>
              <w:t>2</w:t>
            </w:r>
          </w:p>
        </w:tc>
        <w:tc>
          <w:tcPr>
            <w:tcW w:w="850" w:type="dxa"/>
            <w:vAlign w:val="center"/>
          </w:tcPr>
          <w:p>
            <w:pPr>
              <w:pStyle w:val="22"/>
            </w:pPr>
            <w:r>
              <w:t>0.29</w:t>
            </w:r>
          </w:p>
        </w:tc>
        <w:tc>
          <w:tcPr>
            <w:tcW w:w="964" w:type="dxa"/>
            <w:vAlign w:val="center"/>
          </w:tcPr>
          <w:p>
            <w:pPr>
              <w:pStyle w:val="22"/>
            </w:pPr>
            <w:r>
              <w:t>0.58</w:t>
            </w:r>
          </w:p>
        </w:tc>
        <w:tc>
          <w:tcPr>
            <w:tcW w:w="964" w:type="dxa"/>
            <w:vAlign w:val="center"/>
          </w:tcPr>
          <w:p>
            <w:pPr>
              <w:pStyle w:val="22"/>
            </w:pPr>
            <w:r>
              <w:t>0.58</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0.58</w:t>
            </w:r>
          </w:p>
        </w:tc>
      </w:tr>
    </w:tbl>
    <w:p>
      <w:pPr>
        <w:spacing w:line="500" w:lineRule="exact"/>
        <w:ind w:firstLine="420"/>
      </w:pPr>
      <w:r>
        <w:rPr>
          <w:rFonts w:ascii="方正书宋_GBK" w:hAnsi="方正书宋_GBK" w:eastAsia="方正书宋_GBK" w:cs="方正书宋_GBK"/>
        </w:rPr>
        <w:t>注：同一采购目录序号的物品，其单价会因配置规格不同而变动，均符合资产配置标准。涉密采购事项按照相关规定执行。</w:t>
      </w:r>
    </w:p>
    <w:p>
      <w:pPr>
        <w:ind w:firstLine="640"/>
      </w:pPr>
      <w:r>
        <w:rPr>
          <w:rFonts w:eastAsia="方正仿宋_GBK"/>
          <w:sz w:val="32"/>
        </w:rPr>
        <w:t xml:space="preserve"> </w:t>
      </w:r>
    </w:p>
    <w:p>
      <w:pPr>
        <w:spacing w:before="10" w:after="10"/>
        <w:ind w:firstLine="640"/>
        <w:outlineLvl w:val="5"/>
      </w:pPr>
      <w:r>
        <w:rPr>
          <w:rFonts w:ascii="黑体" w:hAnsi="黑体" w:eastAsia="黑体" w:cs="黑体"/>
          <w:sz w:val="32"/>
        </w:rPr>
        <w:t>七、国有资产信息</w:t>
      </w:r>
    </w:p>
    <w:p>
      <w:pPr>
        <w:spacing w:line="500" w:lineRule="exact"/>
        <w:ind w:firstLine="560"/>
      </w:pPr>
      <w:r>
        <w:rPr>
          <w:rFonts w:eastAsia="方正仿宋_GBK"/>
          <w:sz w:val="28"/>
        </w:rPr>
        <w:t>霸州市胜芳镇第三小学上年末固定资产金额为</w:t>
      </w:r>
      <w:r>
        <w:rPr>
          <w:rFonts w:hint="eastAsia" w:eastAsia="方正仿宋_GBK"/>
          <w:sz w:val="28"/>
          <w:lang w:eastAsia="zh-CN"/>
        </w:rPr>
        <w:t>251.67</w:t>
      </w:r>
      <w:r>
        <w:rPr>
          <w:rFonts w:eastAsia="方正仿宋_GBK"/>
          <w:sz w:val="28"/>
        </w:rPr>
        <w:t>万元（详见下表）。本年度拟购置固定资产总额为</w:t>
      </w:r>
      <w:r>
        <w:rPr>
          <w:rFonts w:hint="eastAsia" w:eastAsia="方正仿宋_GBK"/>
          <w:sz w:val="28"/>
          <w:lang w:eastAsia="zh-CN"/>
        </w:rPr>
        <w:t>2.18</w:t>
      </w:r>
      <w:r>
        <w:rPr>
          <w:rFonts w:eastAsia="方正仿宋_GBK"/>
          <w:sz w:val="28"/>
        </w:rPr>
        <w:t>万元，已按要求列入政府采购预算，详见政府采购预算表。</w:t>
      </w:r>
    </w:p>
    <w:p>
      <w:pPr>
        <w:jc w:val="center"/>
        <w:rPr>
          <w:rFonts w:ascii="方正小标宋_GBK" w:hAnsi="方正小标宋_GBK" w:eastAsia="方正小标宋_GBK" w:cs="方正小标宋_GBK"/>
          <w:sz w:val="36"/>
        </w:rPr>
      </w:pPr>
    </w:p>
    <w:p>
      <w:pPr>
        <w:jc w:val="center"/>
        <w:rPr>
          <w:rFonts w:ascii="方正小标宋_GBK" w:hAnsi="方正小标宋_GBK" w:eastAsia="方正小标宋_GBK" w:cs="方正小标宋_GBK"/>
          <w:sz w:val="36"/>
        </w:rPr>
      </w:pPr>
    </w:p>
    <w:p>
      <w:pPr>
        <w:jc w:val="center"/>
      </w:pPr>
      <w:r>
        <w:rPr>
          <w:rFonts w:ascii="方正小标宋_GBK" w:hAnsi="方正小标宋_GBK" w:eastAsia="方正小标宋_GBK" w:cs="方正小标宋_GBK"/>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501584霸州市胜芳镇第三小学</w:t>
            </w:r>
          </w:p>
        </w:tc>
        <w:tc>
          <w:tcPr>
            <w:tcW w:w="5670" w:type="dxa"/>
            <w:gridSpan w:val="2"/>
            <w:tcBorders>
              <w:top w:val="single" w:color="FFFFFF" w:sz="6" w:space="0"/>
              <w:left w:val="single" w:color="FFFFFF" w:sz="6" w:space="0"/>
              <w:right w:val="single" w:color="FFFFFF" w:sz="6" w:space="0"/>
            </w:tcBorders>
            <w:vAlign w:val="center"/>
          </w:tcPr>
          <w:p>
            <w:pPr>
              <w:pStyle w:val="18"/>
            </w:pPr>
            <w:r>
              <w:rPr>
                <w:rFonts w:hint="eastAsia" w:ascii="宋体" w:hAnsi="宋体" w:eastAsia="宋体" w:cs="宋体"/>
                <w:sz w:val="22"/>
              </w:rPr>
              <w:t>截止时间：202</w:t>
            </w:r>
            <w:r>
              <w:rPr>
                <w:rFonts w:ascii="宋体" w:hAnsi="宋体" w:eastAsia="宋体" w:cs="宋体"/>
                <w:sz w:val="22"/>
              </w:rPr>
              <w:t>2</w:t>
            </w:r>
            <w:r>
              <w:rPr>
                <w:rFonts w:hint="eastAsia" w:ascii="宋体" w:hAnsi="宋体" w:eastAsia="宋体" w:cs="宋体"/>
                <w:sz w:val="22"/>
              </w:rPr>
              <w:t>年12月31日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9" w:hRule="atLeast"/>
          <w:tblHeader/>
          <w:jc w:val="center"/>
        </w:trPr>
        <w:tc>
          <w:tcPr>
            <w:tcW w:w="7370" w:type="dxa"/>
            <w:vAlign w:val="center"/>
          </w:tcPr>
          <w:p>
            <w:pPr>
              <w:pStyle w:val="21"/>
            </w:pPr>
            <w: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pStyle w:val="22"/>
              <w:jc w:val="center"/>
              <w:rPr>
                <w:lang w:eastAsia="zh-CN"/>
              </w:rPr>
            </w:pPr>
            <w:r>
              <w:rPr>
                <w:rFonts w:hint="eastAsia"/>
                <w:lang w:eastAsia="zh-CN"/>
              </w:rPr>
              <w:t>251.67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8"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pStyle w:val="24"/>
              <w:rPr>
                <w:lang w:eastAsia="zh-CN"/>
              </w:rPr>
            </w:pPr>
            <w:r>
              <w:rPr>
                <w:rFonts w:hint="eastAsia"/>
                <w:lang w:eastAsia="zh-CN"/>
              </w:rPr>
              <w:t>0</w:t>
            </w:r>
          </w:p>
        </w:tc>
        <w:tc>
          <w:tcPr>
            <w:tcW w:w="2835" w:type="dxa"/>
            <w:vAlign w:val="center"/>
          </w:tcPr>
          <w:p>
            <w:pPr>
              <w:pStyle w:val="22"/>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2"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pStyle w:val="24"/>
              <w:rPr>
                <w:lang w:eastAsia="zh-CN"/>
              </w:rPr>
            </w:pPr>
            <w:r>
              <w:rPr>
                <w:rFonts w:hint="eastAsia"/>
                <w:lang w:eastAsia="zh-CN"/>
              </w:rPr>
              <w:t>0</w:t>
            </w:r>
          </w:p>
        </w:tc>
        <w:tc>
          <w:tcPr>
            <w:tcW w:w="2835" w:type="dxa"/>
            <w:vAlign w:val="center"/>
          </w:tcPr>
          <w:p>
            <w:pPr>
              <w:pStyle w:val="22"/>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pStyle w:val="24"/>
              <w:rPr>
                <w:lang w:eastAsia="zh-CN"/>
              </w:rPr>
            </w:pPr>
            <w:r>
              <w:rPr>
                <w:rFonts w:hint="eastAsia"/>
                <w:lang w:eastAsia="zh-CN"/>
              </w:rPr>
              <w:t>0</w:t>
            </w:r>
          </w:p>
        </w:tc>
        <w:tc>
          <w:tcPr>
            <w:tcW w:w="2835" w:type="dxa"/>
            <w:vAlign w:val="center"/>
          </w:tcPr>
          <w:p>
            <w:pPr>
              <w:pStyle w:val="22"/>
              <w:jc w:val="center"/>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3"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3、单价在50万元以上的设备</w:t>
            </w:r>
          </w:p>
        </w:tc>
        <w:tc>
          <w:tcPr>
            <w:tcW w:w="2835" w:type="dxa"/>
            <w:vAlign w:val="center"/>
          </w:tcPr>
          <w:p>
            <w:pPr>
              <w:pStyle w:val="24"/>
              <w:rPr>
                <w:lang w:eastAsia="zh-CN"/>
              </w:rPr>
            </w:pPr>
            <w:r>
              <w:rPr>
                <w:rFonts w:hint="eastAsia"/>
                <w:lang w:eastAsia="zh-CN"/>
              </w:rPr>
              <w:t>0</w:t>
            </w:r>
          </w:p>
        </w:tc>
        <w:tc>
          <w:tcPr>
            <w:tcW w:w="2835" w:type="dxa"/>
            <w:vAlign w:val="center"/>
          </w:tcPr>
          <w:p>
            <w:pPr>
              <w:pStyle w:val="24"/>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5" w:hRule="atLeast"/>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pStyle w:val="24"/>
              <w:rPr>
                <w:lang w:eastAsia="zh-CN"/>
              </w:rPr>
            </w:pPr>
            <w:r>
              <w:rPr>
                <w:rFonts w:hint="eastAsia"/>
                <w:lang w:eastAsia="zh-CN"/>
              </w:rPr>
              <w:t>502</w:t>
            </w:r>
          </w:p>
        </w:tc>
        <w:tc>
          <w:tcPr>
            <w:tcW w:w="2835" w:type="dxa"/>
            <w:vAlign w:val="center"/>
          </w:tcPr>
          <w:p>
            <w:pPr>
              <w:pStyle w:val="22"/>
              <w:jc w:val="center"/>
              <w:rPr>
                <w:lang w:eastAsia="zh-CN"/>
              </w:rPr>
            </w:pPr>
            <w:r>
              <w:rPr>
                <w:rFonts w:hint="eastAsia"/>
                <w:lang w:eastAsia="zh-CN"/>
              </w:rPr>
              <w:t>251.67</w:t>
            </w:r>
          </w:p>
        </w:tc>
      </w:tr>
    </w:tbl>
    <w:p>
      <w:pPr>
        <w:ind w:firstLine="640"/>
      </w:pPr>
      <w:r>
        <w:rPr>
          <w:rFonts w:ascii="黑体" w:hAnsi="黑体" w:eastAsia="黑体" w:cs="黑体"/>
          <w:sz w:val="32"/>
        </w:rPr>
        <w:t>八、名词解释</w:t>
      </w:r>
    </w:p>
    <w:p>
      <w:pPr>
        <w:spacing w:line="500" w:lineRule="exact"/>
        <w:ind w:firstLine="560"/>
      </w:pPr>
      <w:r>
        <w:rPr>
          <w:rFonts w:eastAsia="方正仿宋_GBK"/>
          <w:sz w:val="28"/>
        </w:rPr>
        <w:t>1、</w:t>
      </w:r>
      <w:r>
        <w:rPr>
          <w:rFonts w:eastAsia="方正仿宋_GBK"/>
          <w:b/>
          <w:sz w:val="28"/>
        </w:rPr>
        <w:t>一般公共预算拨款收入：</w:t>
      </w:r>
      <w:r>
        <w:rPr>
          <w:rFonts w:eastAsia="方正仿宋_GBK"/>
          <w:sz w:val="28"/>
        </w:rPr>
        <w:t>指市级财政当年拨付的资金。</w:t>
      </w:r>
    </w:p>
    <w:p>
      <w:pPr>
        <w:spacing w:line="500" w:lineRule="exact"/>
        <w:ind w:firstLine="560"/>
      </w:pPr>
      <w:r>
        <w:rPr>
          <w:rFonts w:eastAsia="方正仿宋_GBK"/>
          <w:sz w:val="28"/>
        </w:rPr>
        <w:t>2、</w:t>
      </w:r>
      <w:r>
        <w:rPr>
          <w:rFonts w:eastAsia="方正仿宋_GBK"/>
          <w:b/>
          <w:sz w:val="28"/>
        </w:rPr>
        <w:t>事业收入：</w:t>
      </w:r>
      <w:r>
        <w:rPr>
          <w:rFonts w:eastAsia="方正仿宋_GBK"/>
          <w:sz w:val="28"/>
        </w:rPr>
        <w:t>指事业单位开展专业业务活动及辅助活动所取得的收入。</w:t>
      </w:r>
    </w:p>
    <w:p>
      <w:pPr>
        <w:spacing w:line="500" w:lineRule="exact"/>
        <w:ind w:firstLine="560"/>
      </w:pPr>
      <w:r>
        <w:rPr>
          <w:rFonts w:eastAsia="方正仿宋_GBK"/>
          <w:sz w:val="28"/>
        </w:rPr>
        <w:t>3、</w:t>
      </w:r>
      <w:r>
        <w:rPr>
          <w:rFonts w:eastAsia="方正仿宋_GBK"/>
          <w:b/>
          <w:sz w:val="28"/>
        </w:rPr>
        <w:t>其他收入：</w:t>
      </w:r>
      <w:r>
        <w:rPr>
          <w:rFonts w:eastAsia="方正仿宋_GBK"/>
          <w:sz w:val="28"/>
        </w:rPr>
        <w:t>指除“一般公共预算拨款收入”、“事业收入”等以外的收入。主要是按规定动用的租房收入、存款利息收入等。</w:t>
      </w:r>
    </w:p>
    <w:p>
      <w:pPr>
        <w:spacing w:line="500" w:lineRule="exact"/>
        <w:ind w:firstLine="560"/>
      </w:pPr>
      <w:r>
        <w:rPr>
          <w:rFonts w:eastAsia="方正仿宋_GBK"/>
          <w:sz w:val="28"/>
        </w:rPr>
        <w:t>4、</w:t>
      </w:r>
      <w:r>
        <w:rPr>
          <w:rFonts w:eastAsia="方正仿宋_GBK"/>
          <w:b/>
          <w:sz w:val="28"/>
        </w:rPr>
        <w:t>基本支出：</w:t>
      </w:r>
      <w:r>
        <w:rPr>
          <w:rFonts w:eastAsia="方正仿宋_GBK"/>
          <w:sz w:val="28"/>
        </w:rPr>
        <w:t>指为保障机构正常运转、完成日常工作任务而发生的人员支出和公用支出。</w:t>
      </w:r>
    </w:p>
    <w:p>
      <w:pPr>
        <w:spacing w:line="500" w:lineRule="exact"/>
        <w:ind w:firstLine="560"/>
      </w:pPr>
      <w:r>
        <w:rPr>
          <w:rFonts w:eastAsia="方正仿宋_GBK"/>
          <w:sz w:val="28"/>
        </w:rPr>
        <w:t>5、</w:t>
      </w:r>
      <w:r>
        <w:rPr>
          <w:rFonts w:eastAsia="方正仿宋_GBK"/>
          <w:b/>
          <w:sz w:val="28"/>
        </w:rPr>
        <w:t>项目支出：</w:t>
      </w:r>
      <w:r>
        <w:rPr>
          <w:rFonts w:eastAsia="方正仿宋_GBK"/>
          <w:sz w:val="28"/>
        </w:rPr>
        <w:t>指在基本支出之外为完成特定行政任务和事业发展目标所发生的支出。</w:t>
      </w:r>
    </w:p>
    <w:p>
      <w:pPr>
        <w:spacing w:line="500" w:lineRule="exact"/>
        <w:ind w:firstLine="560"/>
      </w:pPr>
      <w:r>
        <w:rPr>
          <w:rFonts w:eastAsia="方正仿宋_GBK"/>
          <w:sz w:val="28"/>
        </w:rPr>
        <w:t>6、</w:t>
      </w:r>
      <w:r>
        <w:rPr>
          <w:rFonts w:eastAsia="方正仿宋_GBK"/>
          <w:b/>
          <w:sz w:val="28"/>
        </w:rPr>
        <w:t>上缴上级支出：</w:t>
      </w:r>
      <w:r>
        <w:rPr>
          <w:rFonts w:eastAsia="方正仿宋_GBK"/>
          <w:sz w:val="28"/>
        </w:rPr>
        <w:t>指下级单位上缴上级的支出。</w:t>
      </w:r>
    </w:p>
    <w:p>
      <w:pPr>
        <w:spacing w:line="500" w:lineRule="exact"/>
        <w:ind w:firstLine="560"/>
      </w:pPr>
      <w:r>
        <w:rPr>
          <w:rFonts w:eastAsia="方正仿宋_GBK"/>
          <w:sz w:val="28"/>
        </w:rPr>
        <w:t>7、</w:t>
      </w:r>
      <w:r>
        <w:rPr>
          <w:rFonts w:eastAsia="方正仿宋_GBK"/>
          <w:b/>
          <w:sz w:val="28"/>
        </w:rPr>
        <w:t>“三公”经费：</w:t>
      </w:r>
      <w:r>
        <w:rPr>
          <w:rFonts w:eastAsia="方正仿宋_GBK"/>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sz w:val="28"/>
        </w:rPr>
        <w:t>8、</w:t>
      </w:r>
      <w:r>
        <w:rPr>
          <w:rFonts w:eastAsia="方正仿宋_GBK"/>
          <w:b/>
          <w:sz w:val="28"/>
        </w:rPr>
        <w:t>机关运行费：</w:t>
      </w:r>
      <w:r>
        <w:rPr>
          <w:rFonts w:eastAsia="方正仿宋_GBK"/>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sz w:val="28"/>
        </w:rPr>
        <w:t>9、</w:t>
      </w:r>
      <w:r>
        <w:rPr>
          <w:rFonts w:eastAsia="方正仿宋_GBK"/>
          <w:b/>
          <w:sz w:val="28"/>
        </w:rPr>
        <w:t>上年结转：</w:t>
      </w:r>
      <w:r>
        <w:rPr>
          <w:rFonts w:eastAsia="方正仿宋_GBK"/>
          <w:sz w:val="28"/>
        </w:rPr>
        <w:t>指以前年度尚未完成、结转到本年仍按原规定用途继续使用的资金。</w:t>
      </w:r>
    </w:p>
    <w:p>
      <w:pPr>
        <w:spacing w:line="500" w:lineRule="exact"/>
        <w:ind w:firstLine="560"/>
      </w:pPr>
      <w:r>
        <w:rPr>
          <w:rFonts w:eastAsia="方正仿宋_GBK"/>
          <w:sz w:val="28"/>
        </w:rPr>
        <w:t>10、</w:t>
      </w:r>
      <w:r>
        <w:rPr>
          <w:rFonts w:eastAsia="方正仿宋_GBK"/>
          <w:b/>
          <w:sz w:val="28"/>
        </w:rPr>
        <w:t>事业单位经营支出：</w:t>
      </w:r>
      <w:r>
        <w:rPr>
          <w:rFonts w:eastAsia="方正仿宋_GBK"/>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sz w:val="32"/>
        </w:rPr>
        <w:t>九、其他需要说明的事项</w:t>
      </w:r>
    </w:p>
    <w:p>
      <w:pPr>
        <w:spacing w:line="500" w:lineRule="exact"/>
        <w:ind w:firstLine="560"/>
      </w:pPr>
      <w:r>
        <w:rPr>
          <w:rFonts w:eastAsia="方正仿宋_GBK"/>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15</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14</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3f4da9aa-0bb4-4e37-8dbb-ae14a849199c"/>
  </w:docVars>
  <w:rsids>
    <w:rsidRoot w:val="004A1168"/>
    <w:rsid w:val="00012A57"/>
    <w:rsid w:val="000B7353"/>
    <w:rsid w:val="00136014"/>
    <w:rsid w:val="0019558F"/>
    <w:rsid w:val="001F67F8"/>
    <w:rsid w:val="002F010E"/>
    <w:rsid w:val="003A5231"/>
    <w:rsid w:val="003D654A"/>
    <w:rsid w:val="0043283C"/>
    <w:rsid w:val="00464BFB"/>
    <w:rsid w:val="004A1168"/>
    <w:rsid w:val="004E6047"/>
    <w:rsid w:val="005B7AFC"/>
    <w:rsid w:val="00677ACE"/>
    <w:rsid w:val="006D6C4D"/>
    <w:rsid w:val="006F70C6"/>
    <w:rsid w:val="00712352"/>
    <w:rsid w:val="00972810"/>
    <w:rsid w:val="00991EB1"/>
    <w:rsid w:val="009B55A2"/>
    <w:rsid w:val="00A367C7"/>
    <w:rsid w:val="00A448A1"/>
    <w:rsid w:val="00A80758"/>
    <w:rsid w:val="00A9064A"/>
    <w:rsid w:val="00A915A7"/>
    <w:rsid w:val="00AA1FB3"/>
    <w:rsid w:val="00AD578B"/>
    <w:rsid w:val="00B6757F"/>
    <w:rsid w:val="00B879FB"/>
    <w:rsid w:val="00BB35A7"/>
    <w:rsid w:val="00C57197"/>
    <w:rsid w:val="00C672B5"/>
    <w:rsid w:val="00CC7E62"/>
    <w:rsid w:val="00D513F4"/>
    <w:rsid w:val="00D64AD2"/>
    <w:rsid w:val="00D93167"/>
    <w:rsid w:val="00D9444E"/>
    <w:rsid w:val="00E20116"/>
    <w:rsid w:val="00E3061C"/>
    <w:rsid w:val="00EF51BF"/>
    <w:rsid w:val="00FC209C"/>
    <w:rsid w:val="04DA60E2"/>
    <w:rsid w:val="06230D3C"/>
    <w:rsid w:val="1A811B6A"/>
    <w:rsid w:val="1FBE6A14"/>
    <w:rsid w:val="234C4337"/>
    <w:rsid w:val="23804E93"/>
    <w:rsid w:val="34090951"/>
    <w:rsid w:val="3ABE293D"/>
    <w:rsid w:val="3DBB4EFC"/>
    <w:rsid w:val="3E3733A9"/>
    <w:rsid w:val="3FBD419A"/>
    <w:rsid w:val="42554A87"/>
    <w:rsid w:val="42BD5E32"/>
    <w:rsid w:val="4A5F4AFE"/>
    <w:rsid w:val="4CBA35C9"/>
    <w:rsid w:val="53B62794"/>
    <w:rsid w:val="63AB7F69"/>
    <w:rsid w:val="6F4F06E7"/>
    <w:rsid w:val="6FEF189F"/>
    <w:rsid w:val="7EF10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6129</Words>
  <Characters>7197</Characters>
  <Lines>69</Lines>
  <Paragraphs>19</Paragraphs>
  <TotalTime>9</TotalTime>
  <ScaleCrop>false</ScaleCrop>
  <LinksUpToDate>false</LinksUpToDate>
  <CharactersWithSpaces>7365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cp:lastPrinted>2023-02-27T01:47:00Z</cp:lastPrinted>
  <dcterms:modified xsi:type="dcterms:W3CDTF">2023-02-28T10:49:01Z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93A086FAC60642DABBEA24FA466F33A1</vt:lpwstr>
  </property>
</Properties>
</file>